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5426" w14:textId="4E2A5C50" w:rsidR="00FC36F1" w:rsidRDefault="463D6205" w:rsidP="386B80B1">
      <w:pPr xmlns:w="http://schemas.openxmlformats.org/wordprocessingml/2006/main">
        <w:rPr>
          <w:rFonts w:ascii="Times New Roman" w:eastAsia="Times New Roman" w:hAnsi="Times New Roman" w:cs="Times New Roman"/>
          <w:b/>
          <w:bCs/>
          <w:color w:val="252423"/>
          <w:sz w:val="28"/>
          <w:szCs w:val="28"/>
        </w:rPr>
      </w:pPr>
      <w:r xmlns:w="http://schemas.openxmlformats.org/wordprocessingml/2006/main" w:rsidRPr="386B80B1">
        <w:rPr>
          <w:rFonts w:ascii="Times New Roman" w:eastAsia="Times New Roman" w:hAnsi="Times New Roman" w:cs="Times New Roman"/>
          <w:b/>
          <w:bCs/>
          <w:color w:val="252423"/>
          <w:sz w:val="28"/>
          <w:szCs w:val="28"/>
        </w:rPr>
        <w:t xml:space="preserve">Úkol: Výběr nastavení pro PID regulátor</w:t>
      </w:r>
    </w:p>
    <w:p w14:paraId="3DC494C7" w14:textId="511CB363" w:rsidR="7AEA6187" w:rsidRDefault="7AEA6187" w:rsidP="386B80B1">
      <w:pPr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</w:pPr>
    </w:p>
    <w:p w14:paraId="3FF37808" w14:textId="77777777" w:rsidR="00C963F2" w:rsidRPr="00C963F2" w:rsidRDefault="00C963F2" w:rsidP="00C963F2">
      <w:pPr xmlns:w="http://schemas.openxmlformats.org/wordprocessingml/2006/main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  <w:t xml:space="preserve">Cíl úkolu:</w:t>
      </w:r>
    </w:p>
    <w:p w14:paraId="2DEEF178" w14:textId="2591E157" w:rsidR="00932895" w:rsidRDefault="00C963F2" w:rsidP="00C963F2">
      <w:pPr xmlns:w="http://schemas.openxmlformats.org/wordprocessingml/2006/main">
        <w:jc w:val="both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Vytvořte nástroj v Pythonu </w:t>
      </w:r>
      <w:proofErr xmlns:w="http://schemas.openxmlformats.org/wordprocessingml/2006/main" w:type="spellStart"/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s </w:t>
      </w:r>
      <w:proofErr xmlns:w="http://schemas.openxmlformats.org/wordprocessingml/2006/main" w:type="spellEnd"/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intuitivním grafickým rozhraním, které uživateli umožňuje efektivně vybírat nastavení PID regulátoru pro různé objekty řízení druhého řádu.</w:t>
      </w:r>
    </w:p>
    <w:p w14:paraId="100A4729" w14:textId="77777777" w:rsidR="00C963F2" w:rsidRDefault="00C963F2" w:rsidP="00C963F2">
      <w:pPr>
        <w:rPr>
          <w:rFonts w:ascii="Times New Roman" w:eastAsia="Times New Roman" w:hAnsi="Times New Roman" w:cs="Times New Roman"/>
          <w:color w:val="252423"/>
          <w:sz w:val="24"/>
          <w:szCs w:val="24"/>
        </w:rPr>
      </w:pPr>
    </w:p>
    <w:p w14:paraId="0A6AAFCE" w14:textId="77777777" w:rsidR="00C963F2" w:rsidRDefault="00C963F2" w:rsidP="00C963F2">
      <w:pPr>
        <w:jc w:val="center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>
        <w:rPr>
          <w:noProof/>
        </w:rPr>
        <w:drawing>
          <wp:inline distT="0" distB="0" distL="0" distR="0" wp14:anchorId="72C8E8A8" wp14:editId="20925E3C">
            <wp:extent cx="5731510" cy="1605915"/>
            <wp:effectExtent l="0" t="0" r="2540" b="0"/>
            <wp:docPr id="1284603156" name="Obraz 1" descr="regulator P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gulator PI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72024" w14:textId="77777777" w:rsidR="00C963F2" w:rsidRDefault="00C963F2" w:rsidP="00C963F2">
      <w:pPr xmlns:w="http://schemas.openxmlformats.org/wordprocessingml/2006/main">
        <w:jc w:val="center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 xmlns:w="http://schemas.openxmlformats.org/wordprocessingml/2006/main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Obr. 1. Blokové schéma znázorňující regulační smyčku.</w:t>
      </w:r>
    </w:p>
    <w:p w14:paraId="6446C7C5" w14:textId="77777777" w:rsidR="00C963F2" w:rsidRDefault="00C963F2" w:rsidP="00C963F2">
      <w:pPr>
        <w:rPr>
          <w:rFonts w:ascii="Times New Roman" w:eastAsia="Times New Roman" w:hAnsi="Times New Roman" w:cs="Times New Roman"/>
          <w:color w:val="252423"/>
          <w:sz w:val="24"/>
          <w:szCs w:val="24"/>
        </w:rPr>
      </w:pPr>
    </w:p>
    <w:p w14:paraId="244B7C30" w14:textId="77777777" w:rsidR="00C963F2" w:rsidRDefault="00C963F2" w:rsidP="00C963F2">
      <w:pPr>
        <w:rPr>
          <w:rFonts w:ascii="Times New Roman" w:eastAsia="Times New Roman" w:hAnsi="Times New Roman" w:cs="Times New Roman"/>
          <w:color w:val="252423"/>
          <w:sz w:val="24"/>
          <w:szCs w:val="24"/>
        </w:rPr>
      </w:pPr>
    </w:p>
    <w:p w14:paraId="37007F5A" w14:textId="77777777" w:rsidR="00C963F2" w:rsidRDefault="00C963F2" w:rsidP="00C963F2">
      <w:pPr>
        <w:rPr>
          <w:rFonts w:ascii="Times New Roman" w:eastAsia="Times New Roman" w:hAnsi="Times New Roman" w:cs="Times New Roman"/>
          <w:color w:val="252423"/>
          <w:sz w:val="24"/>
          <w:szCs w:val="24"/>
        </w:rPr>
      </w:pPr>
    </w:p>
    <w:p w14:paraId="0B09F1CF" w14:textId="77777777" w:rsidR="00C963F2" w:rsidRPr="00C963F2" w:rsidRDefault="00C963F2" w:rsidP="00C963F2">
      <w:pPr xmlns:w="http://schemas.openxmlformats.org/wordprocessingml/2006/main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  <w:t xml:space="preserve">Obsah úkolu:</w:t>
      </w:r>
    </w:p>
    <w:p w14:paraId="6900E2C7" w14:textId="77777777" w:rsidR="00DE094B" w:rsidRDefault="00DE094B" w:rsidP="00C963F2">
      <w:pPr xmlns:w="http://schemas.openxmlformats.org/wordprocessingml/2006/main">
        <w:jc w:val="both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Vaším úkolem je vytvořit aplikaci v Pythonu </w:t>
      </w:r>
      <w:proofErr xmlns:w="http://schemas.openxmlformats.org/wordprocessingml/2006/main" w:type="spellStart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, která </w:t>
      </w:r>
      <w:proofErr xmlns:w="http://schemas.openxmlformats.org/wordprocessingml/2006/main" w:type="spellEnd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uživateli umožní automaticky určit optimální parametry PID regulátoru pomocí metody Ziegler- </w:t>
      </w:r>
      <w:proofErr xmlns:w="http://schemas.openxmlformats.org/wordprocessingml/2006/main" w:type="spellStart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Nichols </w:t>
      </w:r>
      <w:proofErr xmlns:w="http://schemas.openxmlformats.org/wordprocessingml/2006/main" w:type="spellEnd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se zaměřením na výběr nastavení, která zajistí řízení procesu bez oscilací. Nástroj by měl také umožnit uživateli ruční úpravu parametrů. Aplikace by měla podporovat zadávání dat pro regulační objekty druhého řádu a prezentovat reakci systému na změny v reálném čase pomocí grafů. Uživatelské rozhraní by mělo být intuitivní, zahrnovat funkce pro zadávání parametrů, panel pro výběr nastavení PID a vizualizaci regulačního procesu v grafech. Proces vývoje nástroje umožňuje použití knihoven jako </w:t>
      </w:r>
      <w:proofErr xmlns:w="http://schemas.openxmlformats.org/wordprocessingml/2006/main" w:type="spellStart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numpy </w:t>
      </w:r>
      <w:proofErr xmlns:w="http://schemas.openxmlformats.org/wordprocessingml/2006/main" w:type="spellEnd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scipy.optimize </w:t>
      </w:r>
      <w:proofErr xmlns:w="http://schemas.openxmlformats.org/wordprocessingml/2006/main" w:type="spellEnd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control </w:t>
      </w:r>
      <w:proofErr xmlns:w="http://schemas.openxmlformats.org/wordprocessingml/2006/main" w:type="spellEnd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matplotlib </w:t>
      </w:r>
      <w:proofErr xmlns:w="http://schemas.openxmlformats.org/wordprocessingml/2006/main" w:type="spellEnd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, a také dalších, které vývojář považuje za užitečné pro simulaci provozu regulátoru a vizualizaci výsledků.</w:t>
      </w:r>
    </w:p>
    <w:p w14:paraId="4D609262" w14:textId="13D18C52" w:rsidR="00C963F2" w:rsidRDefault="00C963F2" w:rsidP="00C963F2">
      <w:pPr xmlns:w="http://schemas.openxmlformats.org/wordprocessingml/2006/main">
        <w:jc w:val="both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Níže je uveden příklad řídicího objektu druhého řádu:</w:t>
      </w:r>
    </w:p>
    <w:p w14:paraId="28D44302" w14:textId="77777777" w:rsidR="00C963F2" w:rsidRPr="00C963F2" w:rsidRDefault="00C963F2" w:rsidP="00C963F2">
      <w:pPr>
        <w:rPr>
          <w:rFonts w:ascii="Times New Roman" w:eastAsia="Times New Roman" w:hAnsi="Times New Roman" w:cs="Times New Roman"/>
          <w:color w:val="252423"/>
          <w:sz w:val="24"/>
          <w:szCs w:val="24"/>
        </w:rPr>
      </w:pPr>
    </w:p>
    <w:p w14:paraId="4E43A758" w14:textId="77777777" w:rsidR="00932895" w:rsidRPr="00C963F2" w:rsidRDefault="7EBCB8EB" w:rsidP="386B80B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G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s+2</m:t>
                  </m:r>
                </m:e>
              </m:d>
            </m:den>
          </m:f>
        </m:oMath>
      </m:oMathPara>
    </w:p>
    <w:p w14:paraId="0623DDD2" w14:textId="77777777" w:rsidR="00C963F2" w:rsidRDefault="00C963F2" w:rsidP="386B80B1">
      <w:pPr>
        <w:rPr>
          <w:rFonts w:ascii="Times New Roman" w:eastAsia="Times New Roman" w:hAnsi="Times New Roman" w:cs="Times New Roman"/>
          <w:color w:val="252423"/>
          <w:sz w:val="24"/>
          <w:szCs w:val="24"/>
        </w:rPr>
      </w:pPr>
    </w:p>
    <w:p w14:paraId="1A210B99" w14:textId="77777777" w:rsidR="00C963F2" w:rsidRPr="00C963F2" w:rsidRDefault="00C963F2" w:rsidP="00C963F2">
      <w:pPr xmlns:w="http://schemas.openxmlformats.org/wordprocessingml/2006/main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C963F2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  <w:t xml:space="preserve">Kritéria hodnocení:</w:t>
      </w:r>
    </w:p>
    <w:p w14:paraId="20D281F1" w14:textId="77777777" w:rsidR="00C963F2" w:rsidRPr="00C963F2" w:rsidRDefault="00C963F2" w:rsidP="00C963F2">
      <w:pPr>
        <w:jc w:val="both"/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</w:pPr>
    </w:p>
    <w:p w14:paraId="12CB346A" w14:textId="07D20C49" w:rsidR="00C963F2" w:rsidRPr="00C963F2" w:rsidRDefault="00C963F2" w:rsidP="00C963F2">
      <w:pPr xmlns:w="http://schemas.openxmlformats.org/wordprocessingml/2006/main"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  <w:t xml:space="preserve">Program funguje tak, jak je popsáno v popisu úlohy </w:t>
      </w:r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: umožňuje výběr nastavení pomocí Ziegler- </w:t>
      </w:r>
      <w:proofErr xmlns:w="http://schemas.openxmlformats.org/wordprocessingml/2006/main" w:type="spellStart"/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Nicholsovy metody </w:t>
      </w:r>
      <w:proofErr xmlns:w="http://schemas.openxmlformats.org/wordprocessingml/2006/main" w:type="spellEnd"/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a ruční zadávání nastavení PID regulátoru.</w:t>
      </w:r>
    </w:p>
    <w:p w14:paraId="2CB935CE" w14:textId="77777777" w:rsidR="00C963F2" w:rsidRPr="00C963F2" w:rsidRDefault="00C963F2" w:rsidP="00C963F2">
      <w:pPr xmlns:w="http://schemas.openxmlformats.org/wordprocessingml/2006/main"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  <w:t xml:space="preserve">Intuitivnost uživatelského rozhraní: </w:t>
      </w:r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Posouzení, zda je rozhraní snadno použitelné a intuitivní, s důrazem na přehlednost rozvržení, přístupnost funkcí a vizuální estetiku.</w:t>
      </w:r>
    </w:p>
    <w:p w14:paraId="2CCB4FE8" w14:textId="77777777" w:rsidR="00C963F2" w:rsidRDefault="00C963F2" w:rsidP="00C963F2">
      <w:pPr xmlns:w="http://schemas.openxmlformats.org/wordprocessingml/2006/main"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  <w:t xml:space="preserve">Kvalita vizualizace: </w:t>
      </w:r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Posouzení, zda jsou grafy a další grafické prvky čitelné, esteticky příjemné a poskytují užitečné informace o stavu regulace.</w:t>
      </w:r>
    </w:p>
    <w:p w14:paraId="0B89F4C0" w14:textId="594B155A" w:rsidR="00C963F2" w:rsidRPr="00C963F2" w:rsidRDefault="00C963F2" w:rsidP="00C963F2">
      <w:pPr xmlns:w="http://schemas.openxmlformats.org/wordprocessingml/2006/main"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  <w:t xml:space="preserve">Čitelnost a organizace kódu: </w:t>
      </w:r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Je kód snadno srozumitelný, dobře komentovaný a organizovaný?</w:t>
      </w:r>
    </w:p>
    <w:sectPr w:rsidR="00C963F2" w:rsidRPr="00C96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16F89"/>
    <w:multiLevelType w:val="hybridMultilevel"/>
    <w:tmpl w:val="3BC45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90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436980"/>
    <w:rsid w:val="00344F81"/>
    <w:rsid w:val="0038255B"/>
    <w:rsid w:val="00412D51"/>
    <w:rsid w:val="005A3473"/>
    <w:rsid w:val="00932895"/>
    <w:rsid w:val="009503F9"/>
    <w:rsid w:val="00951492"/>
    <w:rsid w:val="00BA5DA7"/>
    <w:rsid w:val="00C80B8C"/>
    <w:rsid w:val="00C963F2"/>
    <w:rsid w:val="00CA6A1C"/>
    <w:rsid w:val="00D949EF"/>
    <w:rsid w:val="00DE094B"/>
    <w:rsid w:val="00E2303B"/>
    <w:rsid w:val="00EB6C75"/>
    <w:rsid w:val="00FC36F1"/>
    <w:rsid w:val="0133D768"/>
    <w:rsid w:val="02CFA7C9"/>
    <w:rsid w:val="093EE94D"/>
    <w:rsid w:val="0996D1E6"/>
    <w:rsid w:val="0E06D86A"/>
    <w:rsid w:val="17261A3E"/>
    <w:rsid w:val="1FADAC2F"/>
    <w:rsid w:val="22CF0A36"/>
    <w:rsid w:val="23D689F3"/>
    <w:rsid w:val="26436980"/>
    <w:rsid w:val="2865BC45"/>
    <w:rsid w:val="29D3BF91"/>
    <w:rsid w:val="2D8559BF"/>
    <w:rsid w:val="2EB2C39C"/>
    <w:rsid w:val="2FF3D730"/>
    <w:rsid w:val="305F97E9"/>
    <w:rsid w:val="30984EA6"/>
    <w:rsid w:val="35906BA4"/>
    <w:rsid w:val="37172D6C"/>
    <w:rsid w:val="374975A1"/>
    <w:rsid w:val="386B80B1"/>
    <w:rsid w:val="3F28CB16"/>
    <w:rsid w:val="3F4A1E70"/>
    <w:rsid w:val="3F83C239"/>
    <w:rsid w:val="428101FE"/>
    <w:rsid w:val="43C5CB07"/>
    <w:rsid w:val="463D6205"/>
    <w:rsid w:val="4C3F7851"/>
    <w:rsid w:val="56AA1E54"/>
    <w:rsid w:val="59C06BBC"/>
    <w:rsid w:val="5ABC2AA5"/>
    <w:rsid w:val="5F4B2C92"/>
    <w:rsid w:val="61331A81"/>
    <w:rsid w:val="61742A6C"/>
    <w:rsid w:val="637F96F4"/>
    <w:rsid w:val="6B13B3A7"/>
    <w:rsid w:val="7401FDCF"/>
    <w:rsid w:val="7AEA6187"/>
    <w:rsid w:val="7B5BF772"/>
    <w:rsid w:val="7B91BEB3"/>
    <w:rsid w:val="7EBCB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6980"/>
  <w15:chartTrackingRefBased/>
  <w15:docId w15:val="{76BAC218-0A88-432F-B36A-27C0B3E0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5DA7"/>
    <w:rPr>
      <w:color w:val="666666"/>
    </w:rPr>
  </w:style>
  <w:style w:type="paragraph" w:styleId="Akapitzlist">
    <w:name w:val="List Paragraph"/>
    <w:basedOn w:val="Normalny"/>
    <w:uiPriority w:val="34"/>
    <w:qFormat/>
    <w:rsid w:val="00C96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Stanisławek | Łukasiewicz – ITEE</dc:creator>
  <cp:keywords/>
  <dc:description/>
  <cp:lastModifiedBy>Małgorzata Kowalska | Łukasiewicz – ITEE</cp:lastModifiedBy>
  <cp:revision>2</cp:revision>
  <dcterms:created xsi:type="dcterms:W3CDTF">2025-03-25T13:20:00Z</dcterms:created>
  <dcterms:modified xsi:type="dcterms:W3CDTF">2025-03-25T13:20:00Z</dcterms:modified>
</cp:coreProperties>
</file>