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F187" w14:textId="0E689ABE" w:rsidR="00A712D8" w:rsidRDefault="005D3CA3" w:rsidP="008E53F7">
      <w:pPr>
        <w:rPr>
          <w:iCs/>
        </w:rPr>
      </w:pPr>
      <w:r>
        <w:rPr>
          <w:noProof/>
        </w:rPr>
        <w:drawing>
          <wp:inline distT="0" distB="0" distL="0" distR="0" wp14:anchorId="4D30DFB4" wp14:editId="6702D674">
            <wp:extent cx="1036955" cy="762000"/>
            <wp:effectExtent l="0" t="0" r="0" b="0"/>
            <wp:docPr id="9" name="image2.png" descr="Obrázok, na ktorom je text, logo, písmo, grafika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Obrázok, na ktorom je text, logo, písmo, grafika&#10;&#10;Obsah vygenerovaný pomocou AI môže byť nesprávny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D6D00">
        <w:rPr>
          <w:iCs/>
        </w:rPr>
        <w:t xml:space="preserve">      </w:t>
      </w:r>
      <w:r w:rsidR="008E53F7">
        <w:rPr>
          <w:noProof/>
        </w:rPr>
        <w:t xml:space="preserve">                        </w:t>
      </w:r>
      <w:r w:rsidR="002D6D00">
        <w:rPr>
          <w:noProof/>
        </w:rPr>
        <w:drawing>
          <wp:inline distT="0" distB="0" distL="0" distR="0" wp14:anchorId="50AA34A3" wp14:editId="2CB23A91">
            <wp:extent cx="1704975" cy="403860"/>
            <wp:effectExtent l="0" t="0" r="9525" b="0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3F7">
        <w:rPr>
          <w:iCs/>
        </w:rPr>
        <w:t xml:space="preserve">                      </w:t>
      </w:r>
      <w:r w:rsidR="008E53F7">
        <w:rPr>
          <w:noProof/>
        </w:rPr>
        <w:drawing>
          <wp:inline distT="0" distB="0" distL="0" distR="0" wp14:anchorId="600A3B2C" wp14:editId="038CFD00">
            <wp:extent cx="920115" cy="609600"/>
            <wp:effectExtent l="0" t="0" r="0" b="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g" descr="SkillsSlovakia_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9350D" w14:textId="77777777" w:rsidR="00A712D8" w:rsidRDefault="00A712D8" w:rsidP="005161BE">
      <w:pPr>
        <w:rPr>
          <w:iCs/>
        </w:rPr>
      </w:pPr>
    </w:p>
    <w:p w14:paraId="24510A3F" w14:textId="77777777" w:rsidR="009A3B2C" w:rsidRDefault="009A3B2C" w:rsidP="005161BE">
      <w:pPr>
        <w:rPr>
          <w:iCs/>
        </w:rPr>
      </w:pPr>
    </w:p>
    <w:p w14:paraId="4FDAAF06" w14:textId="042A470E" w:rsidR="009A3B2C" w:rsidRPr="00B320C0" w:rsidRDefault="009A3B2C" w:rsidP="009A3B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Hodnotiace kritéria </w:t>
      </w:r>
      <w:proofErr w:type="spellStart"/>
      <w:r w:rsidRPr="00B320C0">
        <w:rPr>
          <w:b/>
          <w:bCs/>
          <w:sz w:val="28"/>
          <w:szCs w:val="28"/>
        </w:rPr>
        <w:t>Skills</w:t>
      </w:r>
      <w:proofErr w:type="spellEnd"/>
      <w:r w:rsidRPr="00B320C0">
        <w:rPr>
          <w:b/>
          <w:bCs/>
          <w:sz w:val="28"/>
          <w:szCs w:val="28"/>
        </w:rPr>
        <w:t xml:space="preserve"> Slovakia - </w:t>
      </w:r>
      <w:r>
        <w:rPr>
          <w:b/>
          <w:bCs/>
          <w:sz w:val="28"/>
          <w:szCs w:val="28"/>
        </w:rPr>
        <w:t>mechatroni</w:t>
      </w:r>
      <w:r w:rsidRPr="00B320C0">
        <w:rPr>
          <w:b/>
          <w:bCs/>
          <w:sz w:val="28"/>
          <w:szCs w:val="28"/>
        </w:rPr>
        <w:t>ka</w:t>
      </w:r>
    </w:p>
    <w:p w14:paraId="13796BF9" w14:textId="77777777" w:rsidR="009A3B2C" w:rsidRDefault="009A3B2C" w:rsidP="009A3B2C">
      <w:pPr>
        <w:jc w:val="both"/>
      </w:pPr>
    </w:p>
    <w:p w14:paraId="342FED6C" w14:textId="77777777" w:rsidR="009A3B2C" w:rsidRPr="00AE08FC" w:rsidRDefault="009A3B2C" w:rsidP="009A3B2C">
      <w:pPr>
        <w:jc w:val="both"/>
      </w:pPr>
      <w:r w:rsidRPr="00AE08FC">
        <w:t>Hodnotiaca komisia je zodpovedná za posudzovanie výkonnosti a kvality projektov účastníkov. Komisia sa skladá z piatich členov:</w:t>
      </w:r>
    </w:p>
    <w:p w14:paraId="2DB42A64" w14:textId="77777777" w:rsidR="009A3B2C" w:rsidRPr="00AE08FC" w:rsidRDefault="009A3B2C" w:rsidP="009A3B2C">
      <w:pPr>
        <w:jc w:val="both"/>
      </w:pPr>
      <w:r w:rsidRPr="00AE08FC">
        <w:t>• predseda hodnotiacej komisie</w:t>
      </w:r>
    </w:p>
    <w:p w14:paraId="73CB1637" w14:textId="01089E0F" w:rsidR="009A3B2C" w:rsidRPr="00AE08FC" w:rsidRDefault="009A3B2C" w:rsidP="009A3B2C">
      <w:pPr>
        <w:jc w:val="both"/>
      </w:pPr>
      <w:r w:rsidRPr="00AE08FC">
        <w:t xml:space="preserve">• štyria ďalší odborníci v oblasti </w:t>
      </w:r>
      <w:r w:rsidR="009137DC">
        <w:t>mechatroniky</w:t>
      </w:r>
    </w:p>
    <w:p w14:paraId="51203EA8" w14:textId="77777777" w:rsidR="009A3B2C" w:rsidRPr="00AE08FC" w:rsidRDefault="009A3B2C" w:rsidP="009A3B2C">
      <w:pPr>
        <w:jc w:val="both"/>
      </w:pPr>
      <w:r w:rsidRPr="00AE08FC">
        <w:t>Predsedu hodnotiacej komisie vymenúva organizátor súťaže a má konečné rozhodnutie vo všetkých záležitostiach týkajúcich sa procesu hodnotenia.</w:t>
      </w:r>
    </w:p>
    <w:p w14:paraId="5D10847A" w14:textId="77777777" w:rsidR="009A3B2C" w:rsidRPr="00AE08FC" w:rsidRDefault="009A3B2C" w:rsidP="009A3B2C">
      <w:pPr>
        <w:jc w:val="both"/>
      </w:pPr>
      <w:r w:rsidRPr="00AE08FC">
        <w:t>Títo štyria ďalší odborníci sú vybraní z rôznych inštitúcií alebo spoločností s relevantnými skúsenosťami a odbornými znalosťami.</w:t>
      </w:r>
    </w:p>
    <w:p w14:paraId="5DB7272B" w14:textId="7781D723" w:rsidR="009A3B2C" w:rsidRPr="00AE08FC" w:rsidRDefault="009A3B2C" w:rsidP="009A3B2C">
      <w:pPr>
        <w:jc w:val="both"/>
      </w:pPr>
      <w:r w:rsidRPr="00AE08FC">
        <w:t>Členovia hodnotiacej komisie sú nestranní a nezávislí a dodržiavajú kritériá a postupy uvedené v technických ustanoveniach.</w:t>
      </w:r>
      <w:r w:rsidR="000C3D8F">
        <w:t xml:space="preserve"> </w:t>
      </w:r>
      <w:r w:rsidR="00FE4943">
        <w:t xml:space="preserve">Výsledné skóre súťažného tímu sa počíta ako priemer bodov od jednotlivých členov  hodnotiacej komisie. </w:t>
      </w:r>
    </w:p>
    <w:p w14:paraId="7E097AE5" w14:textId="77777777" w:rsidR="00B305A8" w:rsidRPr="00B305A8" w:rsidRDefault="00B305A8" w:rsidP="00B305A8">
      <w:pPr>
        <w:jc w:val="both"/>
      </w:pPr>
      <w:r w:rsidRPr="00B305A8">
        <w:t>Všetky komponent y (okrem náradia) potrebné na riešenie úlohy ako pohony snímače, ventily, PLC (SIEMENS S7), PC atď. dodá k dispozícii usporiadateľ.</w:t>
      </w:r>
    </w:p>
    <w:p w14:paraId="5408C7FE" w14:textId="1939255D" w:rsidR="00396E94" w:rsidRPr="00396E94" w:rsidRDefault="00396E94" w:rsidP="00396E94">
      <w:pPr>
        <w:jc w:val="both"/>
      </w:pPr>
      <w:r w:rsidRPr="00396E94">
        <w:t xml:space="preserve">Časový limit na vypracovanie celej úlohy je 120 min. Prvých 10 min. môžu družstvá konzultovať riešenie so svojím </w:t>
      </w:r>
      <w:proofErr w:type="spellStart"/>
      <w:r w:rsidRPr="00396E94">
        <w:t>doprovodom</w:t>
      </w:r>
      <w:proofErr w:type="spellEnd"/>
      <w:r w:rsidRPr="00396E94">
        <w:t>. Konzultácia je len verbálna, t.</w:t>
      </w:r>
      <w:r>
        <w:t xml:space="preserve"> </w:t>
      </w:r>
      <w:r w:rsidRPr="00396E94">
        <w:t>z. nie je povolené používať počítač, písacie potreby, ani žiadne  mechanické komponenty.</w:t>
      </w:r>
    </w:p>
    <w:p w14:paraId="7CB36D54" w14:textId="2A00AFD3" w:rsidR="00396E94" w:rsidRPr="00396E94" w:rsidRDefault="00396E94" w:rsidP="00396E94">
      <w:pPr>
        <w:jc w:val="both"/>
      </w:pPr>
      <w:r w:rsidRPr="00396E94">
        <w:t>Po ukončení úlohy družstvo odprezentuje svoje riešenie hodnotiacej komisii vo</w:t>
      </w:r>
      <w:r>
        <w:t xml:space="preserve"> z</w:t>
      </w:r>
      <w:r w:rsidRPr="00396E94">
        <w:t>volenom</w:t>
      </w:r>
      <w:r>
        <w:t xml:space="preserve"> </w:t>
      </w:r>
      <w:r w:rsidRPr="00396E94">
        <w:t>jazyku</w:t>
      </w:r>
      <w:r>
        <w:t xml:space="preserve"> ( sloven</w:t>
      </w:r>
      <w:r w:rsidR="00177F55">
        <w:t xml:space="preserve">ský jazyk resp. </w:t>
      </w:r>
      <w:r>
        <w:t>angli</w:t>
      </w:r>
      <w:r w:rsidR="00177F55">
        <w:t xml:space="preserve">cký jazyk) </w:t>
      </w:r>
      <w:r w:rsidRPr="00396E94">
        <w:t>. Komisia následne zhodnotí dané riešenie.</w:t>
      </w:r>
    </w:p>
    <w:p w14:paraId="33F81D3F" w14:textId="77777777" w:rsidR="009A3B2C" w:rsidRDefault="009A3B2C" w:rsidP="009A3B2C">
      <w:pPr>
        <w:jc w:val="both"/>
      </w:pPr>
      <w:r w:rsidRPr="00AD0BD8">
        <w:t>Komisia sa nebude pri hodnotení spoliehať na vlastné vybavenie účastníkov.</w:t>
      </w:r>
    </w:p>
    <w:p w14:paraId="1EDCC7DF" w14:textId="111408CA" w:rsidR="005161BE" w:rsidRPr="0078043A" w:rsidRDefault="005161BE" w:rsidP="004850BD">
      <w:pPr>
        <w:jc w:val="both"/>
        <w:rPr>
          <w:iCs/>
        </w:rPr>
      </w:pPr>
      <w:r w:rsidRPr="005161BE">
        <w:rPr>
          <w:iCs/>
        </w:rPr>
        <w:t xml:space="preserve">Hodnotenie prebieha podľa hodnotiaceho systému určeného FESTO a ďalšími spoluorganizátormi. Hodnotí sa technická zručnosť a zostavenie správnej montáže komponentov a príslušenstva. Súťažná úloha rieši problematiku z oblasti elektrotechniky, automatizácie a mechaniky.  Súťaže sa zúčastňuje  dvojčlenný tím žiakov 3. a 4. ročníkov. Každoročne sa vyhlasuje nové súťažné zadanie. Súčasťou propozícií je – zvládnutie čiastkových úloh zameraných na vlastnosti pohonov, pneumatických a elektropneumatických ventilov, komunikačné schopnosti, prezentácia môže byť </w:t>
      </w:r>
      <w:r w:rsidRPr="005161BE">
        <w:rPr>
          <w:iCs/>
        </w:rPr>
        <w:lastRenderedPageBreak/>
        <w:t xml:space="preserve">v slovenskom alebo anglickom jazyku a dodržanie limitu. Maximálny počet bodov 100 môže družstvo získať za technickú časť. Súčasťou technického hodnotenia je tzv. Profesionálna prax (pravidlá pre správnu montáž komponentov a príslušenstva).  Súťažiaci môžu využívať vlastné PLC a PC potrebné na jeho programovanie.  Všetky komponenty na riešenie úlohy dodá k dispozícii  odborný gestor a organizátor. </w:t>
      </w:r>
    </w:p>
    <w:p w14:paraId="6883F72D" w14:textId="77777777" w:rsidR="0078043A" w:rsidRDefault="0078043A" w:rsidP="004850BD">
      <w:pPr>
        <w:jc w:val="both"/>
      </w:pPr>
    </w:p>
    <w:tbl>
      <w:tblPr>
        <w:tblW w:w="0" w:type="auto"/>
        <w:tblInd w:w="1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</w:tblGrid>
      <w:tr w:rsidR="0078043A" w:rsidRPr="0078043A" w14:paraId="4F8AE54F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830B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76" w:line="209" w:lineRule="exact"/>
              <w:ind w:left="174" w:right="172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Hodnotiaca tabuľka</w:t>
            </w:r>
          </w:p>
        </w:tc>
      </w:tr>
    </w:tbl>
    <w:p w14:paraId="75C01AA1" w14:textId="77777777" w:rsidR="0078043A" w:rsidRPr="0078043A" w:rsidRDefault="0078043A" w:rsidP="0078043A">
      <w:pPr>
        <w:pStyle w:val="Zkladntext"/>
        <w:kinsoku w:val="0"/>
        <w:overflowPunct w:val="0"/>
        <w:spacing w:before="1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65CA93F6" w14:textId="77777777" w:rsidR="0078043A" w:rsidRPr="0078043A" w:rsidRDefault="0078043A" w:rsidP="0078043A">
      <w:pPr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>Škola:</w:t>
      </w:r>
    </w:p>
    <w:p w14:paraId="279B3FC7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9EA6EF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01B0B482" w14:textId="77777777" w:rsidR="0078043A" w:rsidRPr="0078043A" w:rsidRDefault="0078043A" w:rsidP="0078043A">
      <w:pPr>
        <w:pStyle w:val="Zkladntext"/>
        <w:kinsoku w:val="0"/>
        <w:overflowPunct w:val="0"/>
        <w:ind w:left="157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>Čas vypracovania:</w:t>
      </w:r>
    </w:p>
    <w:p w14:paraId="73099579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51B83047" w14:textId="77777777" w:rsidR="0078043A" w:rsidRPr="0078043A" w:rsidRDefault="0078043A" w:rsidP="0078043A">
      <w:pPr>
        <w:pStyle w:val="Zkladntext"/>
        <w:kinsoku w:val="0"/>
        <w:overflowPunct w:val="0"/>
        <w:spacing w:before="3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3078"/>
        <w:gridCol w:w="1661"/>
        <w:gridCol w:w="2106"/>
      </w:tblGrid>
      <w:tr w:rsidR="0078043A" w:rsidRPr="0078043A" w14:paraId="135AA7D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10529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Kritérium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FC8EA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proofErr w:type="spellStart"/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Podkritérium</w:t>
            </w:r>
            <w:proofErr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9CBD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Max. počet bodov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8CF6F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7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Počet získaných bodov</w:t>
            </w:r>
          </w:p>
        </w:tc>
      </w:tr>
      <w:tr w:rsidR="0078043A" w:rsidRPr="0078043A" w14:paraId="46BB8D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4FC9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5E865A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2C38D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4A84C3D3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30"/>
              <w:ind w:left="158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Dizajn - návrh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95A0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Rozloženie prvkov na MPS stanici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0B437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E4F6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9E17B87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085AA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CE54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Správna montáž komponentov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C6B38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A231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0885E0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CD723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458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6813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8231F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8B8B1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C7031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AB720E2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BA1A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6C2693C8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27"/>
              <w:ind w:left="4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Funkcia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05E5D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 xml:space="preserve">Režim </w:t>
            </w:r>
            <w:proofErr w:type="spellStart"/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Manual</w:t>
            </w:r>
            <w:proofErr w:type="spellEnd"/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F41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25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6AB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2A3EEC91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551E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2B4B3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Režim AUTO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B04F4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DAE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4630AAD8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2FB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0A245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Správnosť rozdelenia obrobkov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0C67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9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EB55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FEF617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82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6F63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09C7CA03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BA7EA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3BE59BF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  <w:p w14:paraId="729E2CF9" w14:textId="77777777" w:rsidR="0078043A" w:rsidRPr="0078043A" w:rsidRDefault="0078043A" w:rsidP="00DE2D3D">
            <w:pPr>
              <w:pStyle w:val="TableParagraph"/>
              <w:kinsoku w:val="0"/>
              <w:overflowPunct w:val="0"/>
              <w:ind w:left="93" w:right="63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Profesionálna</w:t>
            </w:r>
          </w:p>
          <w:p w14:paraId="39303429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12"/>
              <w:ind w:left="93" w:right="59"/>
              <w:jc w:val="center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prax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DCB5C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Pneumatika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F4052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35099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6578EBB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930E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F623E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Elektrika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8BC69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10AD2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329557ED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87624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94407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Mechanika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3B19D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18B2E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A2B7B9B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AEE60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79319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Iné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2DEBA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76BB3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  <w:tr w:rsidR="0078043A" w:rsidRPr="0078043A" w14:paraId="742B7CEC" w14:textId="77777777" w:rsidTr="00DE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1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1D162" w14:textId="77777777" w:rsidR="0078043A" w:rsidRPr="0078043A" w:rsidRDefault="0078043A" w:rsidP="00DE2D3D">
            <w:pPr>
              <w:pStyle w:val="Zkladntext"/>
              <w:kinsoku w:val="0"/>
              <w:overflowPunct w:val="0"/>
              <w:spacing w:before="3"/>
              <w:rPr>
                <w:rFonts w:asciiTheme="minorHAnsi" w:eastAsiaTheme="minorHAnsi" w:hAnsiTheme="minorHAnsi" w:cstheme="minorBid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A81FB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6"/>
              <w:ind w:left="35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Celkový dojem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94AE2" w14:textId="77777777" w:rsidR="0078043A" w:rsidRPr="0078043A" w:rsidRDefault="0078043A" w:rsidP="00DE2D3D">
            <w:pPr>
              <w:pStyle w:val="TableParagraph"/>
              <w:kinsoku w:val="0"/>
              <w:overflowPunct w:val="0"/>
              <w:spacing w:before="33"/>
              <w:ind w:right="8"/>
              <w:jc w:val="right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  <w:r w:rsidRPr="0078043A"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8BA0" w14:textId="77777777" w:rsidR="0078043A" w:rsidRPr="0078043A" w:rsidRDefault="0078043A" w:rsidP="00DE2D3D">
            <w:pPr>
              <w:pStyle w:val="TableParagraph"/>
              <w:kinsoku w:val="0"/>
              <w:overflowPunct w:val="0"/>
              <w:rPr>
                <w:rFonts w:asciiTheme="minorHAnsi" w:eastAsiaTheme="minorHAnsi" w:hAnsiTheme="minorHAnsi" w:cstheme="minorBidi"/>
                <w:iCs/>
                <w:kern w:val="2"/>
                <w:lang w:eastAsia="en-US"/>
                <w14:ligatures w14:val="standardContextual"/>
              </w:rPr>
            </w:pPr>
          </w:p>
        </w:tc>
      </w:tr>
    </w:tbl>
    <w:p w14:paraId="4364570E" w14:textId="77777777" w:rsidR="0078043A" w:rsidRPr="0078043A" w:rsidRDefault="0078043A" w:rsidP="0078043A">
      <w:pPr>
        <w:pStyle w:val="Zkladntext"/>
        <w:kinsoku w:val="0"/>
        <w:overflowPunct w:val="0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</w:p>
    <w:p w14:paraId="1510079A" w14:textId="77777777" w:rsidR="00225F64" w:rsidRDefault="0078043A" w:rsidP="0078043A">
      <w:pPr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>EN (max 10):</w:t>
      </w:r>
      <w:r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ab/>
      </w:r>
    </w:p>
    <w:p w14:paraId="7B6C8E85" w14:textId="22684446" w:rsidR="0078043A" w:rsidRPr="0078043A" w:rsidRDefault="0078043A" w:rsidP="0078043A">
      <w:pPr>
        <w:pStyle w:val="Zkladntext"/>
        <w:tabs>
          <w:tab w:val="left" w:pos="4937"/>
        </w:tabs>
        <w:kinsoku w:val="0"/>
        <w:overflowPunct w:val="0"/>
        <w:spacing w:before="138"/>
        <w:ind w:left="462"/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</w:pPr>
      <w:r w:rsidRPr="0078043A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Podpis </w:t>
      </w:r>
      <w:r w:rsidR="00225F64">
        <w:rPr>
          <w:rFonts w:asciiTheme="minorHAnsi" w:eastAsiaTheme="minorHAnsi" w:hAnsiTheme="minorHAnsi" w:cstheme="minorBidi"/>
          <w:iCs/>
          <w:kern w:val="2"/>
          <w:sz w:val="24"/>
          <w:szCs w:val="24"/>
          <w:lang w:eastAsia="en-US"/>
          <w14:ligatures w14:val="standardContextual"/>
        </w:rPr>
        <w:t xml:space="preserve">člena odbornej hodnotiacej komisie: </w:t>
      </w:r>
    </w:p>
    <w:p w14:paraId="220A4F78" w14:textId="77777777" w:rsidR="0078043A" w:rsidRPr="0078043A" w:rsidRDefault="0078043A" w:rsidP="004850BD">
      <w:pPr>
        <w:jc w:val="both"/>
        <w:rPr>
          <w:iCs/>
        </w:rPr>
      </w:pPr>
    </w:p>
    <w:sectPr w:rsidR="0078043A" w:rsidRPr="0078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E7F9" w14:textId="77777777" w:rsidR="00356E1F" w:rsidRDefault="00356E1F" w:rsidP="00CD5AE1">
      <w:pPr>
        <w:spacing w:after="0" w:line="240" w:lineRule="auto"/>
      </w:pPr>
      <w:r>
        <w:separator/>
      </w:r>
    </w:p>
  </w:endnote>
  <w:endnote w:type="continuationSeparator" w:id="0">
    <w:p w14:paraId="03A7FECE" w14:textId="77777777" w:rsidR="00356E1F" w:rsidRDefault="00356E1F" w:rsidP="00CD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85D4" w14:textId="77777777" w:rsidR="00356E1F" w:rsidRDefault="00356E1F" w:rsidP="00CD5AE1">
      <w:pPr>
        <w:spacing w:after="0" w:line="240" w:lineRule="auto"/>
      </w:pPr>
      <w:r>
        <w:separator/>
      </w:r>
    </w:p>
  </w:footnote>
  <w:footnote w:type="continuationSeparator" w:id="0">
    <w:p w14:paraId="4C4FD08B" w14:textId="77777777" w:rsidR="00356E1F" w:rsidRDefault="00356E1F" w:rsidP="00CD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E"/>
    <w:rsid w:val="00023C37"/>
    <w:rsid w:val="000C3D8F"/>
    <w:rsid w:val="00177F55"/>
    <w:rsid w:val="001D0E86"/>
    <w:rsid w:val="002213E4"/>
    <w:rsid w:val="00225F64"/>
    <w:rsid w:val="002D6D00"/>
    <w:rsid w:val="002E253C"/>
    <w:rsid w:val="00356E1F"/>
    <w:rsid w:val="0037130A"/>
    <w:rsid w:val="00396E94"/>
    <w:rsid w:val="00466273"/>
    <w:rsid w:val="004850BD"/>
    <w:rsid w:val="005161BE"/>
    <w:rsid w:val="005D3CA3"/>
    <w:rsid w:val="0068099D"/>
    <w:rsid w:val="0078043A"/>
    <w:rsid w:val="007A10EC"/>
    <w:rsid w:val="008E53F7"/>
    <w:rsid w:val="009137DC"/>
    <w:rsid w:val="009A3B2C"/>
    <w:rsid w:val="00A712D8"/>
    <w:rsid w:val="00B305A8"/>
    <w:rsid w:val="00CD5AE1"/>
    <w:rsid w:val="00D012D1"/>
    <w:rsid w:val="00DA0C2E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082B"/>
  <w15:chartTrackingRefBased/>
  <w15:docId w15:val="{CC3ABF80-06F8-4F75-8BB5-AB085288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61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61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61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61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61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61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61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61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AE1"/>
  </w:style>
  <w:style w:type="paragraph" w:styleId="Pta">
    <w:name w:val="footer"/>
    <w:basedOn w:val="Normlny"/>
    <w:link w:val="PtaChar"/>
    <w:uiPriority w:val="99"/>
    <w:unhideWhenUsed/>
    <w:rsid w:val="00CD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AE1"/>
  </w:style>
  <w:style w:type="paragraph" w:styleId="Zkladntext">
    <w:name w:val="Body Text"/>
    <w:basedOn w:val="Normlny"/>
    <w:link w:val="ZkladntextChar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0"/>
      <w:szCs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78043A"/>
    <w:rPr>
      <w:rFonts w:ascii="Calibri" w:eastAsiaTheme="minorEastAsia" w:hAnsi="Calibri" w:cs="Calibri"/>
      <w:kern w:val="0"/>
      <w:sz w:val="20"/>
      <w:szCs w:val="20"/>
      <w:lang w:eastAsia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780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</cp:revision>
  <dcterms:created xsi:type="dcterms:W3CDTF">2025-11-20T10:20:00Z</dcterms:created>
  <dcterms:modified xsi:type="dcterms:W3CDTF">2025-11-20T10:20:00Z</dcterms:modified>
</cp:coreProperties>
</file>