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B542" w14:textId="0436AD5E" w:rsidR="00E703DF" w:rsidRPr="00BB17E4" w:rsidRDefault="007946B7" w:rsidP="00BB17E4">
      <w:pPr xmlns:w="http://schemas.openxmlformats.org/wordprocessingml/2006/main"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xmlns:w="http://schemas.openxmlformats.org/wordprocessingml/2006/main" w:rsidRPr="00BB17E4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Regulamin konkursu - elektronika</w:t>
      </w:r>
    </w:p>
    <w:p w14:paraId="6256906C" w14:textId="77777777" w:rsidR="00E703DF" w:rsidRPr="002B0974" w:rsidRDefault="00D823F7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  <w:sz w:val="24"/>
          <w:szCs w:val="24"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anchor distT="0" distB="0" distL="114300" distR="114300" simplePos="0" relativeHeight="251663360" behindDoc="0" locked="0" layoutInCell="1" allowOverlap="0" wp14:anchorId="386796A1" wp14:editId="4EAB1E7E">
            <wp:simplePos x="0" y="0"/>
            <wp:positionH relativeFrom="column">
              <wp:posOffset>2400300</wp:posOffset>
            </wp:positionH>
            <wp:positionV relativeFrom="paragraph">
              <wp:posOffset>169545</wp:posOffset>
            </wp:positionV>
            <wp:extent cx="815340" cy="542925"/>
            <wp:effectExtent l="0" t="0" r="3810" b="9525"/>
            <wp:wrapSquare wrapText="bothSides"/>
            <wp:docPr id="1" name="Obrázok 1" descr="SkillsSlovak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llsSlovakia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xmlns:w="http://schemas.openxmlformats.org/wordprocessingml/2006/main" w:rsidR="00BA57EA" w:rsidRPr="002B0974">
        <w:rPr>
          <w:rFonts w:ascii="Calibri" w:eastAsia="Calibri" w:hAnsi="Calibri" w:cs="Calibri"/>
          <w:sz w:val="22"/>
          <w:szCs w:val="22"/>
        </w:rPr>
        <w:t xml:space="preserve">       </w:t>
      </w:r>
    </w:p>
    <w:p w14:paraId="2DEF6B35" w14:textId="77777777" w:rsidR="00E703DF" w:rsidRPr="002B0974" w:rsidRDefault="00BA57EA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2B0974">
        <w:rPr>
          <w:rFonts w:ascii="Calibri" w:eastAsia="Calibri" w:hAnsi="Calibri" w:cs="Calibri"/>
          <w:sz w:val="22"/>
          <w:szCs w:val="22"/>
        </w:rPr>
        <w:t xml:space="preserve">           </w:t>
      </w:r>
    </w:p>
    <w:p w14:paraId="54F0A047" w14:textId="77777777" w:rsidR="00D823F7" w:rsidRDefault="00D823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firstLine="627"/>
        <w:jc w:val="both"/>
        <w:rPr>
          <w:rFonts w:ascii="Calibri" w:eastAsia="Calibri" w:hAnsi="Calibri" w:cs="Calibri"/>
          <w:sz w:val="22"/>
          <w:szCs w:val="22"/>
        </w:rPr>
      </w:pPr>
    </w:p>
    <w:p w14:paraId="5217A8B5" w14:textId="77777777" w:rsidR="00AC3661" w:rsidRDefault="00AC3661" w:rsidP="00AC3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</w:p>
    <w:p w14:paraId="1D4080D3" w14:textId="77777777" w:rsidR="00EC4ADA" w:rsidRDefault="00EC4ADA" w:rsidP="00EC4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</w:p>
    <w:p w14:paraId="1124D452" w14:textId="3CA30F0A" w:rsidR="00EC4ADA" w:rsidRPr="00EC4ADA" w:rsidRDefault="00EC4ADA" w:rsidP="00EC4ADA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EC4ADA">
        <w:rPr>
          <w:rFonts w:ascii="Calibri" w:eastAsia="Calibri" w:hAnsi="Calibri" w:cs="Calibri"/>
          <w:sz w:val="22"/>
          <w:szCs w:val="22"/>
        </w:rPr>
        <w:t xml:space="preserve">Gwarant metodyczno-organizacyjny, Państwowy Instytut Kształcenia Zawodowego w Bratysławie, zgodnie z zatwierdzonym Regulaminem Organizacyjnym nr 2024/4332:2-E9171, ustala wytyczne metodyczno-organizacyjne dotyczące realizacji etapów szkolnych, regionalnych i ogólnokrajowych.</w:t>
      </w:r>
    </w:p>
    <w:p w14:paraId="4CF206A9" w14:textId="77777777" w:rsidR="00EC4ADA" w:rsidRPr="00EC4ADA" w:rsidRDefault="00EC4ADA" w:rsidP="00EC4ADA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EC4ADA">
        <w:rPr>
          <w:rFonts w:ascii="Calibri" w:eastAsia="Calibri" w:hAnsi="Calibri" w:cs="Calibri"/>
          <w:sz w:val="22"/>
          <w:szCs w:val="22"/>
        </w:rPr>
        <w:t xml:space="preserve">Za merytoryczną treść i realizację instrukcji odpowiada Państwowy Instytut Kształcenia Zawodowego, partnerzy z praktyki gospodarczej oraz Krajowa Komisja Ekspertów. Zadania, prace i propozycje konkursowe uwzględniają zasady bezpieczeństwa i higieny pracy.</w:t>
      </w:r>
    </w:p>
    <w:p w14:paraId="7BF6560F" w14:textId="38474176" w:rsidR="00EC4ADA" w:rsidRPr="00EC4ADA" w:rsidRDefault="00EC4ADA" w:rsidP="00EC4ADA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xmlns:w="http://schemas.openxmlformats.org/wordprocessingml/2006/main" w:rsidRPr="00EC4ADA">
        <w:rPr>
          <w:rFonts w:ascii="Calibri" w:eastAsia="Calibri" w:hAnsi="Calibri" w:cs="Calibri"/>
          <w:sz w:val="22"/>
          <w:szCs w:val="22"/>
        </w:rPr>
        <w:t xml:space="preserve">Konkurs ZENIT w kategorii </w:t>
      </w:r>
      <w:r xmlns:w="http://schemas.openxmlformats.org/wordprocessingml/2006/main" w:rsidRPr="00EC4ADA">
        <w:rPr>
          <w:rFonts w:ascii="Calibri" w:eastAsia="Calibri" w:hAnsi="Calibri" w:cs="Calibri"/>
          <w:b/>
          <w:bCs/>
          <w:sz w:val="22"/>
          <w:szCs w:val="22"/>
        </w:rPr>
        <w:t xml:space="preserve">elektroniki jest finałem krajowym międzynarodowego konkursu umiejętności zawodowych </w:t>
      </w:r>
      <w:r xmlns:w="http://schemas.openxmlformats.org/wordprocessingml/2006/main" w:rsidRPr="00EC4ADA">
        <w:rPr>
          <w:rFonts w:ascii="Calibri" w:eastAsia="Calibri" w:hAnsi="Calibri" w:cs="Calibri"/>
          <w:b/>
          <w:sz w:val="22"/>
          <w:szCs w:val="22"/>
        </w:rPr>
        <w:t xml:space="preserve">EuroSkills </w:t>
      </w:r>
      <w:r xmlns:w="http://schemas.openxmlformats.org/wordprocessingml/2006/main" w:rsidRPr="00EC4ADA">
        <w:rPr>
          <w:rFonts w:ascii="Calibri" w:eastAsia="Calibri" w:hAnsi="Calibri" w:cs="Calibri"/>
          <w:sz w:val="22"/>
          <w:szCs w:val="22"/>
        </w:rPr>
        <w:t xml:space="preserve">European Championship for Young Professionals – Skills Slovakia.</w:t>
      </w:r>
    </w:p>
    <w:p w14:paraId="51A908E7" w14:textId="77777777" w:rsidR="009427CD" w:rsidRDefault="009427CD" w:rsidP="00AC3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</w:p>
    <w:p w14:paraId="1215C9BF" w14:textId="466B3856" w:rsidR="00506742" w:rsidRDefault="00506742" w:rsidP="00EC4ADA">
      <w:pPr xmlns:w="http://schemas.openxmlformats.org/wordprocessingml/2006/main"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Kategorie konkursowe</w:t>
      </w:r>
    </w:p>
    <w:p w14:paraId="68E96F3D" w14:textId="3C01B988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Prezydium Krajowej Komisji Eksperckiej ZENIT i Państwowy Instytut Kształcenia Zawodowego na spotkaniu online w dniu </w:t>
      </w:r>
      <w:r xmlns:w="http://schemas.openxmlformats.org/wordprocessingml/2006/main" w:rsidRPr="002B0974">
        <w:rPr>
          <w:rFonts w:ascii="Calibri" w:eastAsia="Calibri" w:hAnsi="Calibri" w:cs="Calibri"/>
          <w:b/>
          <w:sz w:val="22"/>
          <w:szCs w:val="22"/>
        </w:rPr>
        <w:t xml:space="preserve">16 </w:t>
      </w:r>
      <w:r xmlns:w="http://schemas.openxmlformats.org/wordprocessingml/2006/main" w:rsidRPr="002B0974">
        <w:rPr>
          <w:rFonts w:ascii="Calibri" w:eastAsia="Calibri" w:hAnsi="Calibri" w:cs="Calibri"/>
          <w:b/>
          <w:sz w:val="22"/>
          <w:szCs w:val="22"/>
          <w:highlight w:val="white"/>
        </w:rPr>
        <w:t xml:space="preserve">czerwca 2024 r.</w:t>
      </w:r>
      <w:r xmlns:w="http://schemas.openxmlformats.org/wordprocessingml/2006/main" w:rsidRPr="002B0974"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 xmlns:w="http://schemas.openxmlformats.org/wordprocessingml/2006/main" w:rsidRPr="002B0974">
        <w:rPr>
          <w:rFonts w:ascii="Calibri" w:eastAsia="Calibri" w:hAnsi="Calibri" w:cs="Calibri"/>
          <w:sz w:val="22"/>
          <w:szCs w:val="22"/>
        </w:rPr>
        <w:t xml:space="preserve">Docenili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dwie kategorie konkursowe A i B dla wydziału elektroniki oraz procedurę oceny:</w:t>
      </w:r>
    </w:p>
    <w:p w14:paraId="5E5D629B" w14:textId="77777777" w:rsidR="00506742" w:rsidRDefault="00506742" w:rsidP="00506742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Kategoria A – uczniowie klas 3 i 4 szkół średnich</w:t>
      </w:r>
    </w:p>
    <w:p w14:paraId="3F9CC048" w14:textId="77777777" w:rsidR="00506742" w:rsidRDefault="00506742" w:rsidP="00506742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Kategoria B – uczniowie klas I i II szkół średnich</w:t>
      </w:r>
    </w:p>
    <w:p w14:paraId="7B895A2D" w14:textId="77777777" w:rsidR="00506742" w:rsidRDefault="00506742" w:rsidP="00506742">
      <w:pPr xmlns:w="http://schemas.openxmlformats.org/wordprocessingml/2006/main"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Treść konkursu</w:t>
      </w:r>
    </w:p>
    <w:p w14:paraId="73D0EE72" w14:textId="2C2B10E8" w:rsidR="00297C03" w:rsidRPr="00EC4ADA" w:rsidRDefault="00506742" w:rsidP="00EC4ADA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Konkurs składa się z dwóch części: teoretycznej i praktycznej.</w:t>
      </w:r>
    </w:p>
    <w:p w14:paraId="6BC0237C" w14:textId="4A031888" w:rsidR="00506742" w:rsidRDefault="00506742" w:rsidP="00506742">
      <w:pPr xmlns:w="http://schemas.openxmlformats.org/wordprocessingml/2006/main"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ROWER SZKOLNY</w:t>
      </w:r>
    </w:p>
    <w:p w14:paraId="451E3CE4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 części teoretycznej organizator przygotuje 30 pytań z zakresu elektroniki. Pytania muszą zawierać jasne odpowiedzi. Na ich przygotowanie przewidziano limit czasowy. Uczestnicy mogą korzystać z literatury katalogowej oraz kalkulatorów. Za prawidłową odpowiedź przyznawany jest 1 punkt, za błędną 0 punktów. Łącznie w tej części konkursu można uzyskać 30 punktów.</w:t>
      </w:r>
    </w:p>
    <w:p w14:paraId="3412BF96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 części praktycznej zawodnicy:</w:t>
      </w:r>
    </w:p>
    <w:p w14:paraId="4E4C9F47" w14:textId="77777777" w:rsidR="00506742" w:rsidRDefault="00506742" w:rsidP="00506742">
      <w:pPr xmlns:w="http://schemas.openxmlformats.org/wordprocessingml/2006/main"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Projektują płytkę drukowaną na podstawie zadanego schematu elektronicznego. Projekt implementują na komputerze PC za pomocą wybranego przez siebie programu, choć mogą również korzystać z własnego komputera. Jedynym warunkiem jest legalność używanego programu.</w:t>
      </w:r>
    </w:p>
    <w:p w14:paraId="6C875310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Członkowie komitetu organizacyjnego podejmą decyzję o jednej z poniższych opcji, w zależności od warunków materialnych:</w:t>
      </w:r>
    </w:p>
    <w:p w14:paraId="1E8A78B6" w14:textId="77777777" w:rsidR="00506742" w:rsidRDefault="00506742" w:rsidP="00506742">
      <w:pPr xmlns:w="http://schemas.openxmlformats.org/wordprocessingml/2006/main"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przeniesienie projektu z komputera na płytkę drukowaną i wykonanie płytki drukowanej;</w:t>
      </w:r>
    </w:p>
    <w:p w14:paraId="4145A72C" w14:textId="77777777" w:rsidR="00506742" w:rsidRDefault="00506742" w:rsidP="00506742">
      <w:pPr xmlns:w="http://schemas.openxmlformats.org/wordprocessingml/2006/main"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konkursu przenoszą projekt z komputera na płytkę drukowaną i sami ją trawią;</w:t>
      </w:r>
    </w:p>
    <w:p w14:paraId="282B20A6" w14:textId="77777777" w:rsidR="00506742" w:rsidRDefault="00506742" w:rsidP="00506742">
      <w:pPr xmlns:w="http://schemas.openxmlformats.org/wordprocessingml/2006/main"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konkursu przeniosą projekt z komputera na płytkę drukowaną, a organizator zadba o to, aby płytka drukowana została wytrawiona;</w:t>
      </w:r>
    </w:p>
    <w:p w14:paraId="199035BB" w14:textId="77777777" w:rsidR="00506742" w:rsidRDefault="00506742" w:rsidP="00506742">
      <w:pPr xmlns:w="http://schemas.openxmlformats.org/wordprocessingml/2006/main"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Komitet organizacyjny przekaże wszystkim uczestnikom konkursu gotową, ujednoliconą płytkę drukowaną, na której zamontują oni komponenty. Projekt płytki drukowanej, wykonany na podstawie poprzednich wariantów, zostanie oceniony osobno przez komisję ekspertów.</w:t>
      </w:r>
    </w:p>
    <w:p w14:paraId="4C6A0DF7" w14:textId="77777777" w:rsidR="00506742" w:rsidRDefault="00506742" w:rsidP="00506742">
      <w:pPr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A69E11" w14:textId="77777777" w:rsidR="00506742" w:rsidRDefault="00506742" w:rsidP="00506742">
      <w:pPr xmlns:w="http://schemas.openxmlformats.org/wordprocessingml/2006/main"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Składają płytkę drukowaną z podzespołów zgodnie ze schematem elektronicznym.</w:t>
      </w:r>
    </w:p>
    <w:p w14:paraId="620AA3C7" w14:textId="77777777" w:rsidR="00506742" w:rsidRDefault="00506742" w:rsidP="00506742">
      <w:pPr xmlns:w="http://schemas.openxmlformats.org/wordprocessingml/2006/main"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Ożywią ukończone połączenie.</w:t>
      </w:r>
    </w:p>
    <w:p w14:paraId="4D39EC93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Dla każdej części konkursu praktycznego zostanie ustalony limit czasowy. Komitet Organizacyjny udzieli zawodnikom instrukcji dotyczących bezpieczeństwa w pracy.</w:t>
      </w:r>
    </w:p>
    <w:p w14:paraId="2DDF937D" w14:textId="77777777" w:rsidR="00297C03" w:rsidRDefault="00297C03" w:rsidP="00506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BFE1ACC" w14:textId="315891D6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Ocena części praktycznej.</w:t>
      </w:r>
    </w:p>
    <w:p w14:paraId="7E56B4CF" w14:textId="77777777" w:rsidR="00506742" w:rsidRDefault="00506742" w:rsidP="00506742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Projekt płytki drukowanej - maksymalnie 20 punktów.</w:t>
      </w:r>
    </w:p>
    <w:p w14:paraId="5F636BF3" w14:textId="77777777" w:rsidR="00506742" w:rsidRDefault="00506742" w:rsidP="00506742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Funkcja tworzenia połączeń dla maksymalnie 50 punktów</w:t>
      </w:r>
    </w:p>
    <w:p w14:paraId="043121C6" w14:textId="77777777" w:rsidR="00506742" w:rsidRDefault="00506742" w:rsidP="00506742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Jakość lutowania maksymalnie 15 punktów.</w:t>
      </w:r>
    </w:p>
    <w:p w14:paraId="6BE949E5" w14:textId="77777777" w:rsidR="00506742" w:rsidRDefault="00506742" w:rsidP="00506742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Czystość wykonania – maksymalnie 5 punktów.</w:t>
      </w:r>
    </w:p>
    <w:p w14:paraId="6FC4D365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Za część praktyczną można uzyskać maksymalnie 90 punktów. Podczas części praktycznej uczestnicy mogą korzystać z literatury katalogowej.</w:t>
      </w:r>
    </w:p>
    <w:p w14:paraId="68125774" w14:textId="695DA74E" w:rsidR="00297C03" w:rsidRPr="00EC4ADA" w:rsidRDefault="00506742" w:rsidP="00EC4ADA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 w:rsidRPr="008B1A0D">
        <w:rPr>
          <w:rFonts w:ascii="Calibri" w:eastAsia="Calibri" w:hAnsi="Calibri" w:cs="Calibri"/>
          <w:color w:val="000000"/>
          <w:sz w:val="22"/>
          <w:szCs w:val="22"/>
        </w:rPr>
        <w:t xml:space="preserve">Najlepsi zawodnicy w kategoriach A i B, </w:t>
      </w:r>
      <w:r xmlns:w="http://schemas.openxmlformats.org/wordprocessingml/2006/main" w:rsidR="002F5F70" w:rsidRPr="008B1A0D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po dwóch w każdej kategorii , awansują do etapu regionalnego </w:t>
      </w:r>
      <w:r xmlns:w="http://schemas.openxmlformats.org/wordprocessingml/2006/main" w:rsidRPr="008B1A0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xmlns:w="http://schemas.openxmlformats.org/wordprocessingml/2006/main" w:rsidR="002D0162" w:rsidRPr="008B1A0D">
        <w:rPr>
          <w:rFonts w:ascii="Calibri" w:eastAsia="Calibri" w:hAnsi="Calibri" w:cs="Calibri"/>
          <w:sz w:val="22"/>
          <w:szCs w:val="22"/>
        </w:rPr>
        <w:t xml:space="preserve">W przypadku remisu o awansie do kolejnego etapu decyduje komisja kwalifikacyjna. </w:t>
      </w:r>
      <w:r xmlns:w="http://schemas.openxmlformats.org/wordprocessingml/2006/main" w:rsidR="002D0162" w:rsidRPr="008B1A0D">
        <w:rPr>
          <w:rFonts w:ascii="Calibri" w:eastAsia="Calibri" w:hAnsi="Calibri" w:cs="Calibri"/>
          <w:color w:val="000000"/>
          <w:sz w:val="22"/>
          <w:szCs w:val="22"/>
        </w:rPr>
        <w:t xml:space="preserve">Stała liczba uczniów awansujących gwarantuje równe warunki wszystkim uczestniczącym szkołom i taką samą liczbę uczniów awansujących z każdej szkoły w etapie regionalnym.</w:t>
      </w:r>
    </w:p>
    <w:p w14:paraId="71DDED5B" w14:textId="76BDBD41" w:rsidR="00506742" w:rsidRPr="002B0974" w:rsidRDefault="00506742" w:rsidP="00506742">
      <w:pPr xmlns:w="http://schemas.openxmlformats.org/wordprocessingml/2006/main"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xmlns:w="http://schemas.openxmlformats.org/wordprocessingml/2006/main" w:rsidRPr="002B0974">
        <w:rPr>
          <w:rFonts w:ascii="Calibri" w:eastAsia="Calibri" w:hAnsi="Calibri" w:cs="Calibri"/>
          <w:b/>
          <w:sz w:val="22"/>
          <w:szCs w:val="22"/>
          <w:u w:val="single"/>
        </w:rPr>
        <w:t xml:space="preserve">RUNDA REGIONALNA</w:t>
      </w:r>
    </w:p>
    <w:p w14:paraId="69E7B9B6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Część teoretyczna i praktyczna konkursu, a także kryteria oceny są takie same jak w etapie szkolnym. Poziom trudności zadań jest proporcjonalnie wyższy niż w etapie szkolnym. Uczestnicy projektują płytkę drukowaną na komputerze PC, korzystając z dowolnego programu. Jedynym warunkiem jest legalność używanego programu. Preferowanym systemem projektowania jest KiCad (dostępny bezpłatnie pod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326DD">
          <w:rPr>
            <w:rStyle w:val="Hipercze"/>
            <w:rFonts w:ascii="Calibri" w:eastAsia="Calibri" w:hAnsi="Calibri" w:cs="Calibri"/>
            <w:sz w:val="22"/>
            <w:szCs w:val="22"/>
          </w:rPr>
          <w:t xml:space="preserve">adresem https://www.kicad.org/ </w:t>
        </w:r>
      </w:hyperlink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). Centralnie dystrybuowane zadanie w części praktycznej zostanie przygotowane w programie KiCad.</w:t>
      </w:r>
    </w:p>
    <w:p w14:paraId="79CC6C7B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Organizator etapu regionalnego zaprasza do komisji oceniającej co najmniej dwóch przedstawicieli z innych szkół.</w:t>
      </w:r>
    </w:p>
    <w:p w14:paraId="326AA412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Termin rundy regionalnej jest taki sam dla wszystkich regionów Republiki Słowackiej. Zadania części teoretycznej i praktycznej są takie same dla wszystkich regionów Republiki Słowackiej. Słowackie Towarzystwo Elektroniki przekaże organizatorom rund regionalnych łącze internetowe do testów części teoretycznej w dniu rundy regionalnej. Słowackie Towarzystwo Elektroniki przekaże organizatorom rund regionalnych zadania z części praktycznej najpóźniej na 4 tygodnie przed rundą regionalną.</w:t>
      </w:r>
    </w:p>
    <w:p w14:paraId="402503E8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Zwycięzcy etapu regionalnego konkursu awansują do etapu krajowego konkursu. W kategorii A awansują dwaj zawodnicy, którzy zajęli 1. i 2. miejsce, a w kategorii B – dwaj zawodnicy, którzy zajęli 1. i 2. miejsce.</w:t>
      </w:r>
    </w:p>
    <w:p w14:paraId="6713AC0D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Bezpośrednio po ogłoszeniu wyników organizator etapu regionalnego poprosi czterech pierwszych finalistów z obu kategorii A i B o aktywny kontakt telefoniczny i mailowy, a następnie niezwłocznie prześle je pocztą elektroniczną przewodniczącemu krajowej komisji ekspertów i ewaluatorów w dziedzinie elektroniki ( </w:t>
      </w:r>
      <w:hyperlink xmlns:w="http://schemas.openxmlformats.org/wordprocessingml/2006/main" xmlns:r="http://schemas.openxmlformats.org/officeDocument/2006/relationships" r:id="rId11">
        <w:r xmlns:w="http://schemas.openxmlformats.org/wordprocessingml/2006/main">
          <w:rPr>
            <w:rFonts w:ascii="Calibri" w:eastAsia="Calibri" w:hAnsi="Calibri" w:cs="Calibri"/>
            <w:color w:val="0000FF"/>
            <w:sz w:val="22"/>
            <w:szCs w:val="22"/>
          </w:rPr>
          <w:t xml:space="preserve">daniel.valuch@cern.ch </w:t>
        </w:r>
      </w:hyperlink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).</w:t>
      </w:r>
    </w:p>
    <w:p w14:paraId="6EDE9871" w14:textId="77777777" w:rsidR="00506742" w:rsidRDefault="00506742" w:rsidP="00506742">
      <w:pPr xmlns:w="http://schemas.openxmlformats.org/wordprocessingml/2006/main"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OGÓLNONARODOWY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ROWER</w:t>
      </w:r>
    </w:p>
    <w:p w14:paraId="6C8B14AB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Konkurs składa się z trzech bloków: 1) część teoretyczna, 2) wprowadzenie do części praktycznej - złożony projekt z zakresu elektroniki oraz 3) część praktyczna.</w:t>
      </w:r>
    </w:p>
    <w:p w14:paraId="2EA4DA6F" w14:textId="77777777" w:rsidR="00B60D8E" w:rsidRDefault="00B60D8E" w:rsidP="00506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55CA6F9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Część teoretyczna</w:t>
      </w:r>
    </w:p>
    <w:p w14:paraId="4E7E5F58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 części teoretycznej uczestnicy będą odpowiadać na zestaw 30 pytań z zakresu elektroniki. Pytania muszą zawierać jednoznaczną odpowiedź. Za prawidłową odpowiedź przyznawany jest maksymalnie 1 punkt, za nieprawidłową 0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punktów. Za zgodą komisji oceniającej ekspertów, niektóre pytania mogą mieć różny poziom trudności dla kategorii A i B.</w:t>
      </w:r>
    </w:p>
    <w:p w14:paraId="611C9858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Na udzielenie odpowiedzi przewidziano limit czasowy. Uczestnicy mogą korzystać z literatury katalogowej oraz klasycznych kalkulatorów. Korzystanie z telefonów komórkowych (w jakiejkolwiek formie) lub innych technologii jest zabronione. Korzystanie z pomocy zewnętrznej innej niż komisja oceniająca ekspertów jest zabronione. Łącznie za tę część konkursu można otrzymać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30 punktów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.</w:t>
      </w:r>
    </w:p>
    <w:p w14:paraId="210D5EF5" w14:textId="77777777" w:rsidR="00506742" w:rsidRDefault="00506742" w:rsidP="00506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900A191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xmlns:w="http://schemas.openxmlformats.org/wordprocessingml/2006/main" w:id="0" w:name="_heading=h.gjdgxs" w:colFirst="0" w:colLast="0"/>
      <w:bookmarkEnd xmlns:w="http://schemas.openxmlformats.org/wordprocessingml/2006/main" w:id="0"/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Wprowadzenie do części praktycznej – projekt złożony z zakresu elektroniki</w:t>
      </w:r>
    </w:p>
    <w:p w14:paraId="4842F2DE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 tej części uczestnicy rozwiążą zadanie z aktualnego tematu z dziedziny elektroniki, na przykład w formie kompleksowego projektu. Celem jest sprawdzenie umiejętności zrozumienia zadania, umiejętności łączenia wiedzy teoretycznej z praktyczną oraz kreatywności uczestników.</w:t>
      </w:r>
    </w:p>
    <w:p w14:paraId="4B6C1B85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Zadanie może polegać na przykład na ustnym sformułowaniu problemu (takiego jak: zaprojektuj obwód, który...), propozycji rozwiązania problemu, doborze odpowiednich typów komponentów lub bloków, obliczeniu wartości komponentów zgodnie z wymaganą funkcją obwodu. Zaprojektowany/przeanalizowany obwód może zostać fizycznie zaimplementowany, a jego właściwości zmierzone, lub może zawierać mikrokontroler, do którego uczestnicy tworzą/dodają/modyfikują program sterujący zgodnie z przydzielonym zadaniem. Organizator zapewni niezbędne materiały (komponenty, zestawy deweloperskie, programatory...). Uczestnicy korzystają z własnego lub przydzielonego komputera i sprzętu (lutownicy, multimetru...). Organizatorzy poinformują uczestników z wyprzedzeniem o rodzaju rozwiązywanego problemu i udzielą niezbędnych informacji niezbędnych do prawidłowego przygotowania.</w:t>
      </w:r>
    </w:p>
    <w:p w14:paraId="0D68943D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Za zgodą komisji oceniającej ekspertów, zadanie może mieć różny stopień trudności dla kategorii A i B.</w:t>
      </w:r>
    </w:p>
    <w:p w14:paraId="000B9040" w14:textId="77777777" w:rsidR="002C6BD1" w:rsidRDefault="00506742" w:rsidP="002C6BD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Zadanie nie musi mieć jednego poprawnego rozwiązania. Na wykonanie zadania wyznaczono limit czasowy. Uczestnicy mogą korzystać z literatury katalogowej oraz klasycznych kalkulatorów. Korzystanie z pomocy zewnętrznej, poza profesjonalną komisją oceniającą, jest zabronione. Możliwość wykorzystania innych technik/narzędzi zostanie ogłoszona z wyprzedzeniem. Oceniana będzie funkcjonalność, kompletność i poziom rozwiązania problemu. Za tę część zadania uczestnicy mogą otrzymać maksymalnie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40 punktów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.</w:t>
      </w:r>
    </w:p>
    <w:p w14:paraId="56A9A18B" w14:textId="77777777" w:rsidR="002C6BD1" w:rsidRDefault="002C6BD1" w:rsidP="002C6BD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Złożony projekt nie musi przybierać formy odrębnej dyscypliny, lecz poszczególne zadania mogą być rozwiązywane, w zależności od ich charakteru, w ramach części teoretycznej (np. obliczenia i projekty teoretyczne) lub w ramach części praktycznej (np. obliczenia i przygotowanie bloków funkcjonalnych, które są zintegrowane z projektem części praktycznej).</w:t>
      </w:r>
    </w:p>
    <w:p w14:paraId="44A7377A" w14:textId="77777777" w:rsidR="00506742" w:rsidRDefault="00506742" w:rsidP="00506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080C99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Część praktyczna</w:t>
      </w:r>
    </w:p>
    <w:p w14:paraId="75D83C25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 części praktycznej uczestnicy konkursu będą musieli zaprojektować, wykonać, zmontować i animować płytkę drukowaną na podstawie dostarczonego schematu układu elektronicznego.</w:t>
      </w:r>
    </w:p>
    <w:p w14:paraId="03884D3C" w14:textId="77777777" w:rsidR="00506742" w:rsidRDefault="00506742" w:rsidP="00506742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konkursu stworzą swój projekt na komputerze PC, korzystając z dowolnego programu, na własnym komputerze. Jedynym warunkiem jest legalność używanego programu. Preferowanym systemem projektowania jest KiCad (dostępny bezpłatnie </w:t>
      </w:r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326A90">
          <w:rPr>
            <w:rStyle w:val="Hipercze"/>
            <w:rFonts w:ascii="Calibri" w:eastAsia="Calibri" w:hAnsi="Calibri" w:cs="Calibri"/>
            <w:sz w:val="22"/>
            <w:szCs w:val="22"/>
          </w:rPr>
          <w:t xml:space="preserve">pod adresem https://www.kicad.org/ </w:t>
        </w:r>
      </w:hyperlink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), a zadanie zostanie przygotowane w tym systemie.</w:t>
      </w:r>
    </w:p>
    <w:p w14:paraId="1F079898" w14:textId="77777777" w:rsidR="00506742" w:rsidRDefault="00506742" w:rsidP="00506742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programu przenoszą projekt z komputera na płytkę drukowaną i ją produkują.</w:t>
      </w:r>
    </w:p>
    <w:p w14:paraId="0175AFA0" w14:textId="77777777" w:rsidR="00506742" w:rsidRDefault="00506742" w:rsidP="00506742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konkursu będą składać płytkę drukowaną z podzespołów.</w:t>
      </w:r>
    </w:p>
    <w:p w14:paraId="1ADF4DA4" w14:textId="77777777" w:rsidR="00506742" w:rsidRDefault="00506742" w:rsidP="00506742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284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Ożywią ukończone połączenie.</w:t>
      </w:r>
    </w:p>
    <w:p w14:paraId="03B24F1F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korzystają z własnego komputera, a organizator zapewnia drukarkę laserową do przeniesienia projektu na folię, folię, płytkę drukowaną z nałożoną warstwą światłoczułą, kliszę naświetlającą oraz odczynniki chemiczne do wywoływania i trawienia płytki drukowanej. Uczestnicy zostaną poinformowani z wyprzedzeniem o konieczności zabrania ze sobą dodatkowego sprzętu (np. wiertarki, nożyczek itp.).</w:t>
      </w:r>
    </w:p>
    <w:p w14:paraId="6A91FC43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Uczestnicy mogą korzystać z literatury katalogowej, klasycznych kalkulatorów oraz komputera bez połączenia z internetem. Możliwość korzystania z innego sprzętu/narzędzi zostanie ogłoszona z wyprzedzeniem. Korzystanie z pomocy zewnętrznej innej niż pomoc komisji oceniającej jest zabronione.</w:t>
      </w:r>
    </w:p>
    <w:p w14:paraId="7D878E09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Dla każdej części konkursu praktycznego będzie wyznaczony limit czasowy.</w:t>
      </w:r>
    </w:p>
    <w:p w14:paraId="5460E2CF" w14:textId="77777777" w:rsidR="00506742" w:rsidRDefault="00506742" w:rsidP="00506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E9FCA3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Ocena części praktycznej</w:t>
      </w:r>
    </w:p>
    <w:p w14:paraId="628DC018" w14:textId="7BDE7871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left="70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Projekt płytki drukowanej - maksymalnie 20 punktów.</w:t>
      </w:r>
    </w:p>
    <w:p w14:paraId="730F5279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left="70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Funkcjonalność wykonanego połączenia może zostać oceniona maksymalnie na 40 punktów, przy czym komisja oceniająca ekspertów proponuje podział tej punktacji według cząstkowych jednostek funkcjonalnych połączenia konkursowego.</w:t>
      </w:r>
    </w:p>
    <w:p w14:paraId="2DDBF288" w14:textId="20BF9258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ind w:left="70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Jakość lutowania maksymalnie 15 punktów.</w:t>
      </w:r>
    </w:p>
    <w:p w14:paraId="69F40792" w14:textId="705E0738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240"/>
        <w:ind w:left="70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Czystość wykonania – maksymalnie 5 punktów.</w:t>
      </w:r>
    </w:p>
    <w:p w14:paraId="51D366C5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Za część praktyczną można uzyskać maksymalnie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</w:rPr>
        <w:t xml:space="preserve">80 punktów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. Podczas części praktycznej zawodnicy mogą korzystać z literatury katalogowej. Komitet Organizacyjny zapewni zawodnikom instruktaż dotyczący bezpieczeństwa i higieny pracy.</w:t>
      </w:r>
    </w:p>
    <w:p w14:paraId="361A81A3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Opiekun pedagogiczny może obserwować zawodników i przebieg zawodów wyłącznie z pomieszczeń zarezerwowanych w tym celu przez komitet organizacyjny. Opiekun pedagogiczny nie ma dostępu do sal konkursowych podczas części teoretycznej, projektu złożonego, części praktycznej, animacji, testów i przekazania produktów.</w:t>
      </w:r>
    </w:p>
    <w:p w14:paraId="31EC1D89" w14:textId="77777777" w:rsidR="00506742" w:rsidRDefault="00506742" w:rsidP="0050674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Podczas trwania zawodów, opiekunowi pedagogicznemu nie wolno komunikować się z zawodnikami ani w inny sposób wpływać na przebieg zawodów. Za każde naruszenie niniejszego regulaminu komisja oceniająca odejmie danemu zawodnikowi 10 punktów za każdy taki incydent.</w:t>
      </w:r>
    </w:p>
    <w:p w14:paraId="4A35EA02" w14:textId="3005FE6E" w:rsidR="00506742" w:rsidRDefault="00506742" w:rsidP="00506742">
      <w:pPr xmlns:w="http://schemas.openxmlformats.org/wordprocessingml/2006/main">
        <w:keepNext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Ocena</w:t>
      </w:r>
    </w:p>
    <w:p w14:paraId="798F77EE" w14:textId="2B11D7AC" w:rsidR="002C4A56" w:rsidRPr="00EC4ADA" w:rsidRDefault="00506742" w:rsidP="00EC4ADA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Na podstawie uzyskanych wyników, członkowie komisji oceniającej zawodników ustalą ostateczną klasyfikację zawodników w każdej kategorii. W przypadku remisu, zwycięzcę wyłoni łączny czas wykonania wszystkich zadań (teoretycznych + wprowadzenia do części praktycznej + części praktycznej).</w:t>
      </w:r>
    </w:p>
    <w:p w14:paraId="0C8F9E3D" w14:textId="17CEF4BB" w:rsidR="00D06325" w:rsidRDefault="00D06325" w:rsidP="00D06325">
      <w:pPr xmlns:w="http://schemas.openxmlformats.org/wordprocessingml/2006/main">
        <w:keepNext/>
        <w:spacing w:before="24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Nagroda</w:t>
      </w:r>
    </w:p>
    <w:p w14:paraId="7CB62F06" w14:textId="77777777" w:rsidR="00D06325" w:rsidRDefault="00D06325" w:rsidP="00D06325">
      <w:pPr xmlns:w="http://schemas.openxmlformats.org/wordprocessingml/2006/main"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We wszystkich rundach i kategoriach konkursowych zostanie ustalona klasyfikacja generalna. Wszyscy uczestnicy otrzymają certyfikaty uczestnictwa, pierwszych pięciu zwycięzców w każdej kategorii rundy krajowej otrzyma dyplomy, a pierwszych trzech w każdej kategorii nagrody rzeczowe.</w:t>
      </w:r>
    </w:p>
    <w:p w14:paraId="7436E11A" w14:textId="77777777" w:rsidR="00D06325" w:rsidRDefault="00D06325" w:rsidP="00D06325">
      <w:pPr xmlns:w="http://schemas.openxmlformats.org/wordprocessingml/2006/main"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Zwycięzcy etapu krajowego w kategoriach A i B zostaną nominowani do udziału w konkursie Euroskills w dziedzinie elektrotechniki.</w:t>
      </w:r>
    </w:p>
    <w:p w14:paraId="5B10D69C" w14:textId="77777777" w:rsidR="002C4A56" w:rsidRDefault="002C4A56" w:rsidP="00D06325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3AD15C1E" w14:textId="0FF8E90A" w:rsidR="00D06325" w:rsidRDefault="00D06325" w:rsidP="00D06325">
      <w:pPr xmlns:w="http://schemas.openxmlformats.org/wordprocessingml/2006/main"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Zgoda na wykorzystanie utworu</w:t>
      </w:r>
    </w:p>
    <w:p w14:paraId="6339B392" w14:textId="4B17CD5D" w:rsidR="00D06325" w:rsidRPr="00202841" w:rsidRDefault="00D06325" w:rsidP="00D06325">
      <w:pPr xmlns:w="http://schemas.openxmlformats.org/wordprocessingml/2006/main"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Przystępując do konkursu, uczestnik udziela Państwowemu Instytutowi Kształcenia Zawodowego z siedzibą pod adresem Bellova 54/A, 837 63 Bratysława, REGON 17 314 852 (zwanemu dalej „ŠIOV”), zgodnie z § 65 i powiązaną z nim ustawą nr 185/2015 Dz.U. o prawie autorskim, z późniejszymi zmianami (zwaną dalej „Ustawą o prawie autorskim”), </w:t>
      </w:r>
      <w:r xmlns:w="http://schemas.openxmlformats.org/wordprocessingml/2006/main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zgody (licencji)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na wykorzystanie utworu przesłanego/zgłoszonego do konkursu. Zgoda na wykorzystanie utworu udzielana jest w całości zgodnie z § 19 ust. 4 Ustawy o prawie autorskim, tj. na wykorzystanie utworu na potrzeby konkursu, w tym na publikację utworu na poziomie krajowym i międzynarodowym na potrzeby konkursu. Zgoda na wykorzystanie utworu udzielana jest w nieograniczonym zakresie, ze skutkiem na podpisanie zgłoszenia konkursowego, nieodpłatnie.</w:t>
      </w:r>
    </w:p>
    <w:p w14:paraId="153E8D8E" w14:textId="1CF7A609" w:rsidR="00D06325" w:rsidRDefault="00D06325" w:rsidP="00EC4ADA">
      <w:pPr xmlns:w="http://schemas.openxmlformats.org/wordprocessingml/2006/main">
        <w:jc w:val="both"/>
        <w:rPr>
          <w:rFonts w:ascii="Arial" w:eastAsia="Arial" w:hAnsi="Arial" w:cs="Arial"/>
          <w:color w:val="000000"/>
          <w:sz w:val="22"/>
          <w:szCs w:val="22"/>
        </w:rPr>
      </w:pP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ab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ab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ab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ab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color w:val="000000"/>
          <w:sz w:val="22"/>
          <w:szCs w:val="22"/>
        </w:rPr>
        <w:tab xmlns:w="http://schemas.openxmlformats.org/wordprocessingml/2006/main"/>
      </w:r>
    </w:p>
    <w:p w14:paraId="1BC935B6" w14:textId="77777777" w:rsidR="00E703DF" w:rsidRDefault="00E703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E703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851" w:right="1417" w:bottom="1135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B1F1" w14:textId="77777777" w:rsidR="00E31007" w:rsidRDefault="00E31007">
      <w:r>
        <w:separator/>
      </w:r>
    </w:p>
  </w:endnote>
  <w:endnote w:type="continuationSeparator" w:id="0">
    <w:p w14:paraId="10A9365D" w14:textId="77777777" w:rsidR="00E31007" w:rsidRDefault="00E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C20A" w14:textId="77777777" w:rsidR="00E703DF" w:rsidRDefault="00BA57E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3D9D2F3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06A4" w14:textId="77777777" w:rsidR="00E703DF" w:rsidRDefault="00BA57EA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 xmlns:w="http://schemas.openxmlformats.org/wordprocessingml/2006/main">
      <w:rPr>
        <w:color w:val="000000"/>
        <w:sz w:val="24"/>
        <w:szCs w:val="24"/>
      </w:rPr>
      <w:fldChar xmlns:w="http://schemas.openxmlformats.org/wordprocessingml/2006/main" w:fldCharType="begin"/>
    </w:r>
    <w:r xmlns:w="http://schemas.openxmlformats.org/wordprocessingml/2006/main">
      <w:rPr>
        <w:color w:val="000000"/>
        <w:sz w:val="24"/>
        <w:szCs w:val="24"/>
      </w:rPr>
      <w:instrText xmlns:w="http://schemas.openxmlformats.org/wordprocessingml/2006/main">PAGE</w:instrText>
    </w:r>
    <w:r xmlns:w="http://schemas.openxmlformats.org/wordprocessingml/2006/main">
      <w:rPr>
        <w:color w:val="000000"/>
        <w:sz w:val="24"/>
        <w:szCs w:val="24"/>
      </w:rPr>
      <w:fldChar xmlns:w="http://schemas.openxmlformats.org/wordprocessingml/2006/main" w:fldCharType="separate"/>
    </w:r>
    <w:r xmlns:w="http://schemas.openxmlformats.org/wordprocessingml/2006/main" w:rsidR="007A2060">
      <w:rPr>
        <w:noProof/>
        <w:color w:val="000000"/>
        <w:sz w:val="24"/>
        <w:szCs w:val="24"/>
      </w:rPr>
      <w:t xml:space="preserve">2</w:t>
    </w:r>
    <w:r xmlns:w="http://schemas.openxmlformats.org/wordprocessingml/2006/main">
      <w:rPr>
        <w:color w:val="000000"/>
        <w:sz w:val="24"/>
        <w:szCs w:val="24"/>
      </w:rPr>
      <w:fldChar xmlns:w="http://schemas.openxmlformats.org/wordprocessingml/2006/main" w:fldCharType="end"/>
    </w:r>
  </w:p>
  <w:p w14:paraId="1849B3B2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5E7F7FB7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5C537754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0915C848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E4FB" w14:textId="77777777" w:rsidR="00E31007" w:rsidRDefault="00E31007">
      <w:r>
        <w:separator/>
      </w:r>
    </w:p>
  </w:footnote>
  <w:footnote w:type="continuationSeparator" w:id="0">
    <w:p w14:paraId="28B89331" w14:textId="77777777" w:rsidR="00E31007" w:rsidRDefault="00E3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708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C1E0" w14:textId="77777777" w:rsidR="00E703DF" w:rsidRDefault="00D40A2B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  <w:r>
      <w:rPr>
        <w:noProof/>
      </w:rPr>
      <w:drawing>
        <wp:inline distT="0" distB="0" distL="0" distR="0" wp14:anchorId="08D1D567" wp14:editId="74F4907B">
          <wp:extent cx="1933575" cy="733425"/>
          <wp:effectExtent l="0" t="0" r="9525" b="9525"/>
          <wp:docPr id="3" name="Obrázok 3" descr="MSVVM_28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MSVVM_2857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7EA">
      <w:rPr>
        <w:noProof/>
      </w:rPr>
      <w:drawing>
        <wp:anchor distT="0" distB="0" distL="114300" distR="114300" simplePos="0" relativeHeight="251658240" behindDoc="0" locked="0" layoutInCell="1" hidden="0" allowOverlap="1" wp14:anchorId="04E56958" wp14:editId="5071A81C">
          <wp:simplePos x="0" y="0"/>
          <wp:positionH relativeFrom="column">
            <wp:posOffset>5132705</wp:posOffset>
          </wp:positionH>
          <wp:positionV relativeFrom="paragraph">
            <wp:posOffset>-88264</wp:posOffset>
          </wp:positionV>
          <wp:extent cx="1036955" cy="76200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57EA">
      <w:rPr>
        <w:noProof/>
      </w:rPr>
      <w:drawing>
        <wp:anchor distT="0" distB="0" distL="114300" distR="114300" simplePos="0" relativeHeight="251659264" behindDoc="0" locked="0" layoutInCell="1" hidden="0" allowOverlap="1" wp14:anchorId="5B7F50B1" wp14:editId="3E478CC3">
          <wp:simplePos x="0" y="0"/>
          <wp:positionH relativeFrom="column">
            <wp:posOffset>2700654</wp:posOffset>
          </wp:positionH>
          <wp:positionV relativeFrom="paragraph">
            <wp:posOffset>-75564</wp:posOffset>
          </wp:positionV>
          <wp:extent cx="1700931" cy="750411"/>
          <wp:effectExtent l="0" t="0" r="0" b="0"/>
          <wp:wrapNone/>
          <wp:docPr id="11" name="image3.png" descr="C:\Users\User\Desktop\logo ZENIT nov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er\Desktop\logo ZENIT nové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931" cy="750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86A7C3" w14:textId="77777777" w:rsidR="00E703DF" w:rsidRDefault="003441E9" w:rsidP="003441E9">
    <w:pPr>
      <w:jc w:val="center"/>
    </w:pPr>
    <w:r>
      <w:rPr>
        <w:noProof/>
      </w:rPr>
      <w:drawing>
        <wp:inline distT="0" distB="0" distL="0" distR="0" wp14:anchorId="44A8C04C" wp14:editId="18E5FFD9">
          <wp:extent cx="1704975" cy="371475"/>
          <wp:effectExtent l="0" t="0" r="9525" b="9525"/>
          <wp:docPr id="6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DEA135" w14:textId="77777777" w:rsidR="00E703DF" w:rsidRDefault="00E703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F01E" w14:textId="77777777" w:rsidR="00E703DF" w:rsidRDefault="00E703DF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AD5"/>
    <w:multiLevelType w:val="multilevel"/>
    <w:tmpl w:val="543E5B00"/>
    <w:lvl w:ilvl="0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8FD0E19"/>
    <w:multiLevelType w:val="multilevel"/>
    <w:tmpl w:val="26828BF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80084E"/>
    <w:multiLevelType w:val="multilevel"/>
    <w:tmpl w:val="91B8E93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055C20"/>
    <w:multiLevelType w:val="multilevel"/>
    <w:tmpl w:val="213695A0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3BB97193"/>
    <w:multiLevelType w:val="multilevel"/>
    <w:tmpl w:val="AF806E6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011CC2"/>
    <w:multiLevelType w:val="multilevel"/>
    <w:tmpl w:val="04D47A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180AF3"/>
    <w:multiLevelType w:val="multilevel"/>
    <w:tmpl w:val="95DA53F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EC93066"/>
    <w:multiLevelType w:val="multilevel"/>
    <w:tmpl w:val="EE46725E"/>
    <w:lvl w:ilvl="0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46C6C58"/>
    <w:multiLevelType w:val="multilevel"/>
    <w:tmpl w:val="83DC32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0D0A46"/>
    <w:multiLevelType w:val="multilevel"/>
    <w:tmpl w:val="7F4AE12E"/>
    <w:lvl w:ilvl="0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345D5E"/>
    <w:multiLevelType w:val="multilevel"/>
    <w:tmpl w:val="6AD00BC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A65716"/>
    <w:multiLevelType w:val="multilevel"/>
    <w:tmpl w:val="409E6EF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3754FD"/>
    <w:multiLevelType w:val="multilevel"/>
    <w:tmpl w:val="8F08B9CC"/>
    <w:lvl w:ilvl="0">
      <w:start w:val="1"/>
      <w:numFmt w:val="decimal"/>
      <w:lvlText w:val="%1."/>
      <w:lvlJc w:val="left"/>
      <w:pPr>
        <w:ind w:left="200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vertAlign w:val="baseline"/>
      </w:rPr>
    </w:lvl>
  </w:abstractNum>
  <w:abstractNum w:abstractNumId="13" w15:restartNumberingAfterBreak="0">
    <w:nsid w:val="7A461A9F"/>
    <w:multiLevelType w:val="multilevel"/>
    <w:tmpl w:val="1180B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30541002">
    <w:abstractNumId w:val="1"/>
  </w:num>
  <w:num w:numId="2" w16cid:durableId="1216164815">
    <w:abstractNumId w:val="8"/>
  </w:num>
  <w:num w:numId="3" w16cid:durableId="1787574747">
    <w:abstractNumId w:val="3"/>
  </w:num>
  <w:num w:numId="4" w16cid:durableId="2065516570">
    <w:abstractNumId w:val="11"/>
  </w:num>
  <w:num w:numId="5" w16cid:durableId="1212620864">
    <w:abstractNumId w:val="4"/>
  </w:num>
  <w:num w:numId="6" w16cid:durableId="1429884426">
    <w:abstractNumId w:val="5"/>
  </w:num>
  <w:num w:numId="7" w16cid:durableId="460154899">
    <w:abstractNumId w:val="10"/>
  </w:num>
  <w:num w:numId="8" w16cid:durableId="1486243793">
    <w:abstractNumId w:val="2"/>
  </w:num>
  <w:num w:numId="9" w16cid:durableId="580261110">
    <w:abstractNumId w:val="12"/>
  </w:num>
  <w:num w:numId="10" w16cid:durableId="2006980156">
    <w:abstractNumId w:val="6"/>
  </w:num>
  <w:num w:numId="11" w16cid:durableId="258566654">
    <w:abstractNumId w:val="13"/>
  </w:num>
  <w:num w:numId="12" w16cid:durableId="1651791577">
    <w:abstractNumId w:val="0"/>
  </w:num>
  <w:num w:numId="13" w16cid:durableId="291903208">
    <w:abstractNumId w:val="7"/>
  </w:num>
  <w:num w:numId="14" w16cid:durableId="477652465">
    <w:abstractNumId w:val="9"/>
  </w:num>
  <w:num w:numId="15" w16cid:durableId="1889760618">
    <w:abstractNumId w:val="10"/>
  </w:num>
  <w:num w:numId="16" w16cid:durableId="5735163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229995">
    <w:abstractNumId w:val="6"/>
  </w:num>
  <w:num w:numId="18" w16cid:durableId="551842036">
    <w:abstractNumId w:val="1"/>
  </w:num>
  <w:num w:numId="19" w16cid:durableId="1038167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DF"/>
    <w:rsid w:val="0001187C"/>
    <w:rsid w:val="00076943"/>
    <w:rsid w:val="00086CB7"/>
    <w:rsid w:val="000A3CBC"/>
    <w:rsid w:val="000E744C"/>
    <w:rsid w:val="000F078B"/>
    <w:rsid w:val="000F5857"/>
    <w:rsid w:val="000F5A97"/>
    <w:rsid w:val="001014A0"/>
    <w:rsid w:val="00102102"/>
    <w:rsid w:val="00121134"/>
    <w:rsid w:val="00141C03"/>
    <w:rsid w:val="00157C53"/>
    <w:rsid w:val="001A1416"/>
    <w:rsid w:val="001B26F7"/>
    <w:rsid w:val="001C29D4"/>
    <w:rsid w:val="001C7B84"/>
    <w:rsid w:val="001D1B65"/>
    <w:rsid w:val="001D4A12"/>
    <w:rsid w:val="001E4488"/>
    <w:rsid w:val="001F6FB3"/>
    <w:rsid w:val="00202841"/>
    <w:rsid w:val="00217B3C"/>
    <w:rsid w:val="00232AB8"/>
    <w:rsid w:val="00240E92"/>
    <w:rsid w:val="00255C49"/>
    <w:rsid w:val="00260AED"/>
    <w:rsid w:val="00262BB5"/>
    <w:rsid w:val="002848F4"/>
    <w:rsid w:val="00297C03"/>
    <w:rsid w:val="002B0974"/>
    <w:rsid w:val="002B0B2A"/>
    <w:rsid w:val="002C4A56"/>
    <w:rsid w:val="002C6BD1"/>
    <w:rsid w:val="002D0162"/>
    <w:rsid w:val="002D662E"/>
    <w:rsid w:val="002F5F70"/>
    <w:rsid w:val="002F682A"/>
    <w:rsid w:val="003441E9"/>
    <w:rsid w:val="00374F52"/>
    <w:rsid w:val="00384EA1"/>
    <w:rsid w:val="00385385"/>
    <w:rsid w:val="004060BE"/>
    <w:rsid w:val="0043532D"/>
    <w:rsid w:val="00452869"/>
    <w:rsid w:val="00494A41"/>
    <w:rsid w:val="0049654F"/>
    <w:rsid w:val="004A3883"/>
    <w:rsid w:val="004E495B"/>
    <w:rsid w:val="00506742"/>
    <w:rsid w:val="00554C01"/>
    <w:rsid w:val="005630AF"/>
    <w:rsid w:val="005777D0"/>
    <w:rsid w:val="00584B6E"/>
    <w:rsid w:val="00590474"/>
    <w:rsid w:val="00596431"/>
    <w:rsid w:val="005B0A22"/>
    <w:rsid w:val="005E68C0"/>
    <w:rsid w:val="005F6A31"/>
    <w:rsid w:val="006025F9"/>
    <w:rsid w:val="00607F44"/>
    <w:rsid w:val="00612011"/>
    <w:rsid w:val="0062159F"/>
    <w:rsid w:val="006350CF"/>
    <w:rsid w:val="00641AA3"/>
    <w:rsid w:val="00644A95"/>
    <w:rsid w:val="00646D6E"/>
    <w:rsid w:val="00683E4A"/>
    <w:rsid w:val="006864B7"/>
    <w:rsid w:val="0069117A"/>
    <w:rsid w:val="006A323B"/>
    <w:rsid w:val="006C30F3"/>
    <w:rsid w:val="006E2701"/>
    <w:rsid w:val="00717C93"/>
    <w:rsid w:val="00721EBB"/>
    <w:rsid w:val="00724261"/>
    <w:rsid w:val="00726A9E"/>
    <w:rsid w:val="007578DC"/>
    <w:rsid w:val="00785230"/>
    <w:rsid w:val="007946B7"/>
    <w:rsid w:val="007A2060"/>
    <w:rsid w:val="007A5209"/>
    <w:rsid w:val="007B6185"/>
    <w:rsid w:val="00830FF0"/>
    <w:rsid w:val="00836A7B"/>
    <w:rsid w:val="0088309E"/>
    <w:rsid w:val="008B1A0D"/>
    <w:rsid w:val="008C46D9"/>
    <w:rsid w:val="008D170B"/>
    <w:rsid w:val="008D5FB8"/>
    <w:rsid w:val="008E306E"/>
    <w:rsid w:val="00907DF3"/>
    <w:rsid w:val="009159EA"/>
    <w:rsid w:val="009224BD"/>
    <w:rsid w:val="00931663"/>
    <w:rsid w:val="009351AC"/>
    <w:rsid w:val="00940BBB"/>
    <w:rsid w:val="00941E73"/>
    <w:rsid w:val="009427CD"/>
    <w:rsid w:val="009449BD"/>
    <w:rsid w:val="00947442"/>
    <w:rsid w:val="00963C12"/>
    <w:rsid w:val="00971C31"/>
    <w:rsid w:val="00994C42"/>
    <w:rsid w:val="009A0DFA"/>
    <w:rsid w:val="00A00158"/>
    <w:rsid w:val="00A31B0C"/>
    <w:rsid w:val="00A51344"/>
    <w:rsid w:val="00A53558"/>
    <w:rsid w:val="00A83090"/>
    <w:rsid w:val="00A9074E"/>
    <w:rsid w:val="00A950A7"/>
    <w:rsid w:val="00AA3167"/>
    <w:rsid w:val="00AC047E"/>
    <w:rsid w:val="00AC3661"/>
    <w:rsid w:val="00AF24BC"/>
    <w:rsid w:val="00AF7179"/>
    <w:rsid w:val="00B60D8E"/>
    <w:rsid w:val="00BA40F8"/>
    <w:rsid w:val="00BA57EA"/>
    <w:rsid w:val="00BB01CD"/>
    <w:rsid w:val="00BB17E4"/>
    <w:rsid w:val="00BB300F"/>
    <w:rsid w:val="00BE19D1"/>
    <w:rsid w:val="00BE6E65"/>
    <w:rsid w:val="00C049F2"/>
    <w:rsid w:val="00C07897"/>
    <w:rsid w:val="00C13F4B"/>
    <w:rsid w:val="00C1677A"/>
    <w:rsid w:val="00C20DCE"/>
    <w:rsid w:val="00C4076C"/>
    <w:rsid w:val="00C51E1D"/>
    <w:rsid w:val="00C6562C"/>
    <w:rsid w:val="00C70E49"/>
    <w:rsid w:val="00C71055"/>
    <w:rsid w:val="00C71E4F"/>
    <w:rsid w:val="00C72BBF"/>
    <w:rsid w:val="00C7379A"/>
    <w:rsid w:val="00C9674D"/>
    <w:rsid w:val="00CB6972"/>
    <w:rsid w:val="00CC4CFC"/>
    <w:rsid w:val="00CF14C9"/>
    <w:rsid w:val="00D06325"/>
    <w:rsid w:val="00D211F3"/>
    <w:rsid w:val="00D21967"/>
    <w:rsid w:val="00D40A2B"/>
    <w:rsid w:val="00D727AE"/>
    <w:rsid w:val="00D823F7"/>
    <w:rsid w:val="00DA17E2"/>
    <w:rsid w:val="00DE00D6"/>
    <w:rsid w:val="00DE0F19"/>
    <w:rsid w:val="00DF0E13"/>
    <w:rsid w:val="00DF5630"/>
    <w:rsid w:val="00E2153D"/>
    <w:rsid w:val="00E31007"/>
    <w:rsid w:val="00E43ED1"/>
    <w:rsid w:val="00E703DF"/>
    <w:rsid w:val="00E815C6"/>
    <w:rsid w:val="00E81622"/>
    <w:rsid w:val="00E922E9"/>
    <w:rsid w:val="00EB105A"/>
    <w:rsid w:val="00EC4ADA"/>
    <w:rsid w:val="00ED165B"/>
    <w:rsid w:val="00EF377E"/>
    <w:rsid w:val="00EF4CE0"/>
    <w:rsid w:val="00F02BD4"/>
    <w:rsid w:val="00F848AE"/>
    <w:rsid w:val="00F93B7E"/>
    <w:rsid w:val="00FB18BC"/>
    <w:rsid w:val="00FC4F7F"/>
    <w:rsid w:val="00FE0475"/>
    <w:rsid w:val="00FE71FA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42F5F"/>
  <w15:docId w15:val="{3A450BE3-2EA6-4C2F-A401-22C1582F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y1">
    <w:name w:val="Normálny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" w:eastAsia="cs-CZ"/>
    </w:rPr>
  </w:style>
  <w:style w:type="paragraph" w:customStyle="1" w:styleId="Nadpis21">
    <w:name w:val="Nadpis 21"/>
    <w:basedOn w:val="Normlny1"/>
    <w:next w:val="Normlny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Predvolenpsmoodseku1">
    <w:name w:val="Predvolené písmo odseku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lnatabuka1">
    <w:name w:val="Normálna tabuľk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">
    <w:name w:val="Bez zoznamu1"/>
    <w:qFormat/>
  </w:style>
  <w:style w:type="character" w:customStyle="1" w:styleId="Hypertextovprepojenie1">
    <w:name w:val="Hypertextové prepojeni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ubliny1">
    <w:name w:val="Text bubliny1"/>
    <w:basedOn w:val="Normlny1"/>
    <w:rPr>
      <w:rFonts w:ascii="Tahoma" w:hAnsi="Tahoma" w:cs="Tahoma"/>
      <w:sz w:val="16"/>
      <w:szCs w:val="16"/>
    </w:rPr>
  </w:style>
  <w:style w:type="character" w:customStyle="1" w:styleId="Odkaznakomentr1">
    <w:name w:val="Odkaz na komentár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komentra1">
    <w:name w:val="Text komentára1"/>
    <w:basedOn w:val="Normlny1"/>
    <w:rPr>
      <w:sz w:val="20"/>
      <w:szCs w:val="20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customStyle="1" w:styleId="Pta1">
    <w:name w:val="Päta1"/>
    <w:basedOn w:val="Normlny1"/>
  </w:style>
  <w:style w:type="character" w:customStyle="1" w:styleId="slostrany1">
    <w:name w:val="Číslo strany1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paragraph" w:customStyle="1" w:styleId="Hlavika1">
    <w:name w:val="Hlavička1"/>
    <w:basedOn w:val="Normlny1"/>
  </w:style>
  <w:style w:type="table" w:customStyle="1" w:styleId="Mriekatabuky1">
    <w:name w:val="Mriežka tabuľky1"/>
    <w:basedOn w:val="Normlnatabuk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l" w:eastAsia="cs-CZ"/>
    </w:rPr>
  </w:style>
  <w:style w:type="paragraph" w:customStyle="1" w:styleId="Revzia1">
    <w:name w:val="Revízi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" w:eastAsia="cs-CZ"/>
    </w:rPr>
  </w:style>
  <w:style w:type="character" w:customStyle="1" w:styleId="PouitHypertextovPrepojenie1">
    <w:name w:val="PoužitéHypertextovéPrepojeni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choolnametitle">
    <w:name w:val="school_name_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Nzov1">
    <w:name w:val="Názov1"/>
    <w:basedOn w:val="Normlny1"/>
    <w:next w:val="Normlny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pl" w:eastAsia="sk-SK"/>
    </w:rPr>
  </w:style>
  <w:style w:type="character" w:customStyle="1" w:styleId="NzovChar">
    <w:name w:val="Názov Char"/>
    <w:rPr>
      <w:rFonts w:ascii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Bezriadkovania1">
    <w:name w:val="Bez riadkovania1"/>
    <w:basedOn w:val="Normlny1"/>
  </w:style>
  <w:style w:type="paragraph" w:customStyle="1" w:styleId="Odsekzoznamu1">
    <w:name w:val="Odsek zoznamu1"/>
    <w:basedOn w:val="Normlny1"/>
    <w:pPr>
      <w:spacing w:after="240"/>
      <w:ind w:left="567"/>
      <w:contextualSpacing/>
      <w:jc w:val="both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Standardowy"/>
    <w:tblPr>
      <w:tblStyleRowBandSize w:val="1"/>
      <w:tblStyleColBandSize w:val="1"/>
    </w:tblPr>
  </w:style>
  <w:style w:type="character" w:styleId="Hipercze">
    <w:name w:val="Hyperlink"/>
    <w:unhideWhenUsed/>
    <w:rsid w:val="00C92627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EC42BD"/>
    <w:pPr>
      <w:suppressAutoHyphens/>
      <w:spacing w:line="1" w:lineRule="atLeast"/>
      <w:ind w:leftChars="-1" w:left="-1" w:hangingChars="1" w:hanging="1"/>
      <w:outlineLvl w:val="0"/>
    </w:pPr>
    <w:rPr>
      <w:position w:val="-1"/>
      <w:sz w:val="24"/>
      <w:szCs w:val="24"/>
      <w:lang w:val="pl" w:eastAsia="cs-CZ"/>
    </w:rPr>
  </w:style>
  <w:style w:type="paragraph" w:customStyle="1" w:styleId="SIOV">
    <w:name w:val="SIOV"/>
    <w:uiPriority w:val="99"/>
    <w:rsid w:val="005142A6"/>
    <w:pPr>
      <w:spacing w:before="40" w:after="40"/>
      <w:ind w:left="454" w:right="454"/>
    </w:pPr>
    <w:rPr>
      <w:rFonts w:ascii="Tahoma" w:eastAsia="Arial Unicode MS" w:hAnsi="Tahoma" w:cs="Arial Unicode MS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42756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2756"/>
    <w:rPr>
      <w:rFonts w:ascii="Arial" w:eastAsia="Arial" w:hAnsi="Arial" w:cs="Arial"/>
      <w:sz w:val="19"/>
      <w:szCs w:val="19"/>
      <w:lang w:val="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36A"/>
    <w:pPr>
      <w:widowControl w:val="0"/>
      <w:autoSpaceDE w:val="0"/>
      <w:autoSpaceDN w:val="0"/>
    </w:pPr>
    <w:rPr>
      <w:rFonts w:ascii="Arial" w:eastAsia="Arial" w:hAnsi="Arial" w:cs="Arial"/>
      <w:lang w:val="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36A"/>
    <w:rPr>
      <w:rFonts w:ascii="Arial" w:eastAsia="Arial" w:hAnsi="Arial" w:cs="Arial"/>
      <w:lang w:val="pl"/>
    </w:rPr>
  </w:style>
  <w:style w:type="paragraph" w:customStyle="1" w:styleId="TableParagraph">
    <w:name w:val="Table Paragraph"/>
    <w:basedOn w:val="Normalny"/>
    <w:uiPriority w:val="1"/>
    <w:qFormat/>
    <w:rsid w:val="001963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l"/>
    </w:rPr>
  </w:style>
  <w:style w:type="character" w:styleId="Odwoaniedokomentarza">
    <w:name w:val="annotation reference"/>
    <w:basedOn w:val="Domylnaczcionkaakapitu"/>
    <w:uiPriority w:val="99"/>
    <w:unhideWhenUsed/>
    <w:rsid w:val="0019636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36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ABA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ABA"/>
    <w:rPr>
      <w:rFonts w:ascii="Arial" w:eastAsia="Arial" w:hAnsi="Arial" w:cs="Arial"/>
      <w:b/>
      <w:bCs/>
      <w:lang w:val="pl"/>
    </w:rPr>
  </w:style>
  <w:style w:type="paragraph" w:styleId="Nagwek">
    <w:name w:val="header"/>
    <w:basedOn w:val="Normalny"/>
    <w:link w:val="NagwekZnak"/>
    <w:rsid w:val="008562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" w:eastAsia="cs-CZ"/>
    </w:rPr>
  </w:style>
  <w:style w:type="character" w:customStyle="1" w:styleId="NagwekZnak">
    <w:name w:val="Nagłówek Znak"/>
    <w:basedOn w:val="Domylnaczcionkaakapitu"/>
    <w:link w:val="Nagwek"/>
    <w:rsid w:val="00856298"/>
    <w:rPr>
      <w:position w:val="-1"/>
      <w:sz w:val="24"/>
      <w:szCs w:val="24"/>
      <w:lang w:val="pl" w:eastAsia="cs-CZ"/>
    </w:rPr>
  </w:style>
  <w:style w:type="paragraph" w:styleId="Stopka">
    <w:name w:val="footer"/>
    <w:basedOn w:val="Normalny"/>
    <w:link w:val="StopkaZnak"/>
    <w:uiPriority w:val="99"/>
    <w:unhideWhenUsed/>
    <w:rsid w:val="0085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98"/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63C12"/>
    <w:rPr>
      <w:color w:val="605E5C"/>
      <w:shd w:val="clear" w:color="auto" w:fill="E1DFDD"/>
    </w:rPr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506742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omylnaczcionkaakapitu"/>
    <w:uiPriority w:val="99"/>
    <w:semiHidden/>
    <w:unhideWhenUsed/>
    <w:rsid w:val="005777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kicad.or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iel.valuch@cern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icad.or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+aRWJCEKPCZjrNQ6xsqK5K/VDg==">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</go:docsCustomData>
</go:gDocsCustomXmlDataStorage>
</file>

<file path=customXml/itemProps1.xml><?xml version="1.0" encoding="utf-8"?>
<ds:datastoreItem xmlns:ds="http://schemas.openxmlformats.org/officeDocument/2006/customXml" ds:itemID="{58D1EA25-0BEE-47FA-9D39-49AC30AA8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1490</Words>
  <Characters>9609</Characters>
  <Application>Microsoft Office Word</Application>
  <DocSecurity>0</DocSecurity>
  <Lines>171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Małgorzata Kowalska | Łukasiewicz – ITEE</cp:lastModifiedBy>
  <cp:revision>6</cp:revision>
  <cp:lastPrinted>2022-06-29T07:07:00Z</cp:lastPrinted>
  <dcterms:created xsi:type="dcterms:W3CDTF">2025-10-27T09:33:00Z</dcterms:created>
  <dcterms:modified xsi:type="dcterms:W3CDTF">2025-11-18T06:53:00Z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d92256ba-3df5-4e51-9992-1016db6b2cbc</vt:lpwstr>
  </property>
</Properties>
</file>